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387C" w14:textId="77777777" w:rsidR="00667EA7" w:rsidRPr="0001083D" w:rsidRDefault="00AE7536" w:rsidP="00AD20FC">
      <w:pPr>
        <w:pStyle w:val="Heading1"/>
        <w:pBdr>
          <w:bottom w:val="single" w:sz="24" w:space="8" w:color="5DC1EE"/>
        </w:pBdr>
        <w:spacing w:line="560" w:lineRule="atLeast"/>
        <w:rPr>
          <w:sz w:val="48"/>
          <w:szCs w:val="48"/>
        </w:rPr>
      </w:pPr>
      <w:bookmarkStart w:id="0" w:name="instructions"/>
      <w:bookmarkStart w:id="1" w:name="introduction"/>
      <w:bookmarkStart w:id="2" w:name="assignment-of-benefit-procedure-template"/>
      <w:r w:rsidRPr="0001083D">
        <w:rPr>
          <w:sz w:val="48"/>
          <w:szCs w:val="48"/>
        </w:rPr>
        <w:t>Assignment of Benefit Procedure Template</w:t>
      </w:r>
    </w:p>
    <w:p w14:paraId="781B6983" w14:textId="23BE2DE0" w:rsidR="001A42D4" w:rsidRDefault="001A42D4" w:rsidP="001A42D4">
      <w:pPr>
        <w:pStyle w:val="Heading2"/>
        <w:rPr>
          <w:rFonts w:cstheme="minorBidi"/>
          <w:kern w:val="2"/>
          <w:lang w:val="en-AU" w:eastAsia="zh-CN" w:bidi="th-TH"/>
          <w14:ligatures w14:val="standardContextual"/>
        </w:rPr>
      </w:pPr>
      <w:r>
        <w:rPr>
          <w:rFonts w:cstheme="minorBidi"/>
        </w:rPr>
        <w:t>Instructions</w:t>
      </w:r>
      <w:bookmarkEnd w:id="0"/>
    </w:p>
    <w:p w14:paraId="02061E89" w14:textId="77777777" w:rsidR="001A42D4" w:rsidRPr="001A42D4" w:rsidRDefault="001A42D4" w:rsidP="00DC2224">
      <w:pPr>
        <w:pStyle w:val="BlockText"/>
        <w:ind w:left="0" w:right="0"/>
        <w:rPr>
          <w:i/>
          <w:iCs/>
          <w:kern w:val="2"/>
          <w:szCs w:val="22"/>
          <w:lang w:val="en-AU" w:eastAsia="zh-CN" w:bidi="th-TH"/>
          <w14:ligatures w14:val="standardContextual"/>
        </w:rPr>
      </w:pPr>
      <w:r w:rsidRPr="001A42D4">
        <w:rPr>
          <w:i/>
          <w:iCs/>
        </w:rPr>
        <w:t>Use this template to identify the practice’s Assignment of Benefit workflows, choose fallback methods and document who obtains, checks and stores agreements.</w:t>
      </w:r>
    </w:p>
    <w:p w14:paraId="5E6D35AF" w14:textId="77777777" w:rsidR="001A42D4" w:rsidRPr="001A42D4" w:rsidRDefault="001A42D4" w:rsidP="00DC2224">
      <w:pPr>
        <w:pStyle w:val="BlockText"/>
        <w:ind w:left="0" w:right="0"/>
        <w:rPr>
          <w:i/>
          <w:iCs/>
          <w:kern w:val="2"/>
          <w:szCs w:val="22"/>
          <w:lang w:val="en-AU" w:eastAsia="zh-CN" w:bidi="th-TH"/>
          <w14:ligatures w14:val="standardContextual"/>
        </w:rPr>
      </w:pPr>
      <w:r w:rsidRPr="001A42D4">
        <w:rPr>
          <w:i/>
          <w:iCs/>
        </w:rPr>
        <w:t>Adapt this template to the practice’s business model, systems, service settings and patient population. Delete options, rows and action boxes that do not apply before approval.</w:t>
      </w:r>
    </w:p>
    <w:p w14:paraId="46E35185" w14:textId="69F0105E" w:rsidR="001A42D4" w:rsidRPr="001A42D4" w:rsidRDefault="001A42D4" w:rsidP="00DC2224">
      <w:pPr>
        <w:pStyle w:val="BlockText"/>
        <w:ind w:left="0" w:right="0"/>
        <w:rPr>
          <w:i/>
          <w:iCs/>
          <w:kern w:val="2"/>
          <w:szCs w:val="22"/>
          <w:lang w:val="en-AU" w:eastAsia="zh-CN" w:bidi="th-TH"/>
          <w14:ligatures w14:val="standardContextual"/>
        </w:rPr>
      </w:pPr>
      <w:r w:rsidRPr="001A42D4">
        <w:rPr>
          <w:i/>
          <w:iCs/>
        </w:rPr>
        <w:t>Complete all square-bracket update fields. They are highlighted in</w:t>
      </w:r>
      <w:r w:rsidR="00A46FA9">
        <w:rPr>
          <w:i/>
          <w:iCs/>
        </w:rPr>
        <w:t xml:space="preserve"> </w:t>
      </w:r>
      <w:r w:rsidR="00A46FA9" w:rsidRPr="00C82BC0">
        <w:rPr>
          <w:i/>
          <w:iCs/>
          <w:color w:val="EE0000"/>
        </w:rPr>
        <w:t>red</w:t>
      </w:r>
      <w:r w:rsidR="004938C0" w:rsidRPr="004938C0">
        <w:rPr>
          <w:i/>
          <w:iCs/>
          <w:color w:val="auto"/>
        </w:rPr>
        <w:t>.</w:t>
      </w:r>
    </w:p>
    <w:p w14:paraId="0EBCAC35" w14:textId="77777777" w:rsidR="001A42D4" w:rsidRPr="001A42D4" w:rsidRDefault="001A42D4" w:rsidP="00DC2224">
      <w:pPr>
        <w:pStyle w:val="BlockText"/>
        <w:ind w:left="0" w:right="0"/>
        <w:rPr>
          <w:i/>
          <w:iCs/>
          <w:kern w:val="2"/>
          <w:szCs w:val="22"/>
          <w:lang w:val="en-AU" w:eastAsia="zh-CN" w:bidi="th-TH"/>
          <w14:ligatures w14:val="standardContextual"/>
        </w:rPr>
      </w:pPr>
      <w:bookmarkStart w:id="3" w:name="practice-details"/>
      <w:bookmarkEnd w:id="1"/>
      <w:r w:rsidRPr="001A42D4">
        <w:rPr>
          <w:i/>
          <w:iCs/>
        </w:rPr>
        <w:t>Examples are non-exhaustive. Practices may use other methods that meet current Assignment of Benefit requirements.</w:t>
      </w:r>
    </w:p>
    <w:p w14:paraId="577D6CB8" w14:textId="5928045B" w:rsidR="00667EA7" w:rsidRDefault="00667EA7" w:rsidP="00667EA7">
      <w:pPr>
        <w:pStyle w:val="Heading2"/>
      </w:pPr>
      <w:r>
        <w:t>Introduction</w:t>
      </w:r>
    </w:p>
    <w:p w14:paraId="561DF54F" w14:textId="5CDA9C2C" w:rsidR="006239D9" w:rsidRDefault="006239D9" w:rsidP="006239D9">
      <w:pPr>
        <w:pStyle w:val="BodyText"/>
      </w:pPr>
      <w:r>
        <w:t>Assignment of Benefit is the patient’s, or another assignor’s, agreement to transfer their Medicare benefit to the provider as full payment for a bulk-billed service.</w:t>
      </w:r>
    </w:p>
    <w:p w14:paraId="22A2D830" w14:textId="7155DB98" w:rsidR="006239D9" w:rsidRDefault="006239D9" w:rsidP="006239D9">
      <w:pPr>
        <w:pStyle w:val="BodyText"/>
      </w:pPr>
      <w:r>
        <w:t xml:space="preserve">From 1 July 2026, this agreement may be obtained before or after the service, electronically or on paper, provided the required information is captured and agreement is completed before the claim is lodged. The previous “patient unable to sign” claiming option is no longer accepted. Eligible patients may also </w:t>
      </w:r>
      <w:proofErr w:type="gramStart"/>
      <w:r>
        <w:t>enter</w:t>
      </w:r>
      <w:proofErr w:type="gramEnd"/>
      <w:r>
        <w:t xml:space="preserve"> an enduring agreement for covered GP services.</w:t>
      </w:r>
    </w:p>
    <w:p w14:paraId="2628C02D" w14:textId="18BA3D1D" w:rsidR="0045658D" w:rsidRPr="009643DB" w:rsidRDefault="00AE7536" w:rsidP="00DC2224">
      <w:pPr>
        <w:pStyle w:val="BlockText"/>
        <w:ind w:left="0" w:right="0"/>
        <w:rPr>
          <w:lang w:val="en-AU"/>
        </w:rPr>
      </w:pPr>
      <w:r w:rsidRPr="0045658D">
        <w:rPr>
          <w:lang w:val="en-AU"/>
        </w:rPr>
        <w:t>During the transition period ending 30 June 2027, verbal assignment may also be used.</w:t>
      </w:r>
    </w:p>
    <w:p w14:paraId="29E9AF87" w14:textId="77777777" w:rsidR="007426A4" w:rsidRDefault="00773698">
      <w:pPr>
        <w:pStyle w:val="Heading2"/>
      </w:pPr>
      <w:r>
        <w:t>Practice details</w:t>
      </w:r>
    </w:p>
    <w:tbl>
      <w:tblPr>
        <w:tblStyle w:val="TableGridLight"/>
        <w:tblW w:w="9409" w:type="dxa"/>
        <w:tblLook w:val="0020" w:firstRow="1" w:lastRow="0" w:firstColumn="0" w:lastColumn="0" w:noHBand="0" w:noVBand="0"/>
      </w:tblPr>
      <w:tblGrid>
        <w:gridCol w:w="3681"/>
        <w:gridCol w:w="5728"/>
      </w:tblGrid>
      <w:tr w:rsidR="007426A4" w14:paraId="12024A00" w14:textId="77777777" w:rsidTr="00DC2224">
        <w:trPr>
          <w:trHeight w:val="44"/>
        </w:trPr>
        <w:tc>
          <w:tcPr>
            <w:tcW w:w="3681" w:type="dxa"/>
            <w:tcBorders>
              <w:bottom w:val="single" w:sz="4" w:space="0" w:color="BFBFBF" w:themeColor="background1" w:themeShade="BF"/>
            </w:tcBorders>
            <w:shd w:val="clear" w:color="FFFFFF" w:fill="FFFFFF"/>
          </w:tcPr>
          <w:p w14:paraId="04FF959A" w14:textId="77777777" w:rsidR="007426A4" w:rsidRPr="00DC2224" w:rsidRDefault="00773698">
            <w:pPr>
              <w:pStyle w:val="Compact"/>
              <w:rPr>
                <w:b/>
                <w:bCs/>
                <w:sz w:val="22"/>
                <w:szCs w:val="22"/>
              </w:rPr>
            </w:pPr>
            <w:r w:rsidRPr="00DC2224">
              <w:rPr>
                <w:b/>
                <w:bCs/>
                <w:sz w:val="22"/>
                <w:szCs w:val="22"/>
              </w:rPr>
              <w:t>Field</w:t>
            </w:r>
          </w:p>
        </w:tc>
        <w:tc>
          <w:tcPr>
            <w:tcW w:w="5728" w:type="dxa"/>
            <w:tcBorders>
              <w:bottom w:val="single" w:sz="4" w:space="0" w:color="BFBFBF" w:themeColor="background1" w:themeShade="BF"/>
            </w:tcBorders>
            <w:shd w:val="clear" w:color="FFFFFF" w:fill="FFFFFF"/>
          </w:tcPr>
          <w:p w14:paraId="5C1AFA54" w14:textId="77777777" w:rsidR="007426A4" w:rsidRPr="00DC2224" w:rsidRDefault="00773698">
            <w:pPr>
              <w:pStyle w:val="Compact"/>
              <w:rPr>
                <w:b/>
                <w:bCs/>
                <w:sz w:val="22"/>
                <w:szCs w:val="22"/>
              </w:rPr>
            </w:pPr>
            <w:r w:rsidRPr="00DC2224">
              <w:rPr>
                <w:b/>
                <w:bCs/>
                <w:sz w:val="22"/>
                <w:szCs w:val="22"/>
              </w:rPr>
              <w:t>Practice details</w:t>
            </w:r>
          </w:p>
        </w:tc>
      </w:tr>
      <w:tr w:rsidR="00112660" w14:paraId="39789423" w14:textId="77777777" w:rsidTr="00DC2224">
        <w:trPr>
          <w:trHeight w:val="366"/>
        </w:trPr>
        <w:tc>
          <w:tcPr>
            <w:tcW w:w="3681" w:type="dxa"/>
            <w:tcBorders>
              <w:bottom w:val="single" w:sz="4" w:space="0" w:color="BFBFBF" w:themeColor="background1" w:themeShade="BF"/>
            </w:tcBorders>
            <w:shd w:val="clear" w:color="FFFFFF" w:fill="FFFFFF"/>
          </w:tcPr>
          <w:p w14:paraId="7CDDA189" w14:textId="77777777" w:rsidR="00112660" w:rsidRPr="00DC2224" w:rsidRDefault="00112660" w:rsidP="00112660">
            <w:pPr>
              <w:pStyle w:val="Compact"/>
              <w:rPr>
                <w:sz w:val="22"/>
                <w:szCs w:val="22"/>
              </w:rPr>
            </w:pPr>
            <w:r w:rsidRPr="00DC2224">
              <w:rPr>
                <w:sz w:val="22"/>
                <w:szCs w:val="22"/>
              </w:rPr>
              <w:t>Practice</w:t>
            </w:r>
          </w:p>
        </w:tc>
        <w:tc>
          <w:tcPr>
            <w:tcW w:w="5728" w:type="dxa"/>
            <w:tcBorders>
              <w:top w:val="single" w:sz="4" w:space="0" w:color="BFBFBF" w:themeColor="background1" w:themeShade="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5D8B062B" w14:textId="090DA0A7" w:rsidR="00112660" w:rsidRPr="00DC2224" w:rsidRDefault="00773698" w:rsidP="00A46FA9">
            <w:pPr>
              <w:rPr>
                <w:i/>
                <w:iCs/>
                <w:color w:val="EE0000"/>
                <w:szCs w:val="22"/>
              </w:rPr>
            </w:pPr>
            <w:r w:rsidRPr="00DC2224">
              <w:rPr>
                <w:i/>
                <w:iCs/>
                <w:color w:val="EE0000"/>
                <w:szCs w:val="22"/>
              </w:rPr>
              <w:t>[Practice name]</w:t>
            </w:r>
          </w:p>
        </w:tc>
      </w:tr>
      <w:tr w:rsidR="00112660" w14:paraId="4ECD5317" w14:textId="77777777" w:rsidTr="00DC2224">
        <w:trPr>
          <w:trHeight w:val="375"/>
        </w:trPr>
        <w:tc>
          <w:tcPr>
            <w:tcW w:w="3681" w:type="dxa"/>
            <w:tcBorders>
              <w:bottom w:val="single" w:sz="4" w:space="0" w:color="BFBFBF" w:themeColor="background1" w:themeShade="BF"/>
            </w:tcBorders>
            <w:shd w:val="clear" w:color="FFFFFF" w:fill="FFFFFF"/>
          </w:tcPr>
          <w:p w14:paraId="61D7C77F" w14:textId="77777777" w:rsidR="00112660" w:rsidRPr="00DC2224" w:rsidRDefault="00112660" w:rsidP="00112660">
            <w:pPr>
              <w:pStyle w:val="Compact"/>
              <w:rPr>
                <w:sz w:val="22"/>
                <w:szCs w:val="22"/>
              </w:rPr>
            </w:pPr>
            <w:r w:rsidRPr="00DC2224">
              <w:rPr>
                <w:sz w:val="22"/>
                <w:szCs w:val="22"/>
              </w:rPr>
              <w:t>Procedure owner</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2E0D499A" w14:textId="18BB7525" w:rsidR="00112660" w:rsidRPr="00DC2224" w:rsidRDefault="00773698" w:rsidP="00A46FA9">
            <w:pPr>
              <w:rPr>
                <w:i/>
                <w:iCs/>
                <w:color w:val="EE0000"/>
                <w:szCs w:val="22"/>
              </w:rPr>
            </w:pPr>
            <w:r w:rsidRPr="00DC2224">
              <w:rPr>
                <w:i/>
                <w:iCs/>
                <w:color w:val="EE0000"/>
                <w:szCs w:val="22"/>
              </w:rPr>
              <w:t>[Practice manager / billing lead]</w:t>
            </w:r>
          </w:p>
        </w:tc>
      </w:tr>
      <w:tr w:rsidR="00112660" w14:paraId="766FFBC1" w14:textId="77777777" w:rsidTr="00DC2224">
        <w:trPr>
          <w:trHeight w:val="375"/>
        </w:trPr>
        <w:tc>
          <w:tcPr>
            <w:tcW w:w="3681" w:type="dxa"/>
            <w:tcBorders>
              <w:bottom w:val="single" w:sz="4" w:space="0" w:color="BFBFBF" w:themeColor="background1" w:themeShade="BF"/>
            </w:tcBorders>
            <w:shd w:val="clear" w:color="FFFFFF" w:fill="FFFFFF"/>
          </w:tcPr>
          <w:p w14:paraId="35F97166" w14:textId="77777777" w:rsidR="00112660" w:rsidRPr="00DC2224" w:rsidRDefault="00112660" w:rsidP="00112660">
            <w:pPr>
              <w:pStyle w:val="Compact"/>
              <w:rPr>
                <w:sz w:val="22"/>
                <w:szCs w:val="22"/>
              </w:rPr>
            </w:pPr>
            <w:r w:rsidRPr="00DC2224">
              <w:rPr>
                <w:sz w:val="22"/>
                <w:szCs w:val="22"/>
              </w:rPr>
              <w:t>Approved by</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3D8019F1" w14:textId="05255A2E" w:rsidR="00112660" w:rsidRPr="00DC2224" w:rsidRDefault="00773698" w:rsidP="00A46FA9">
            <w:pPr>
              <w:rPr>
                <w:i/>
                <w:iCs/>
                <w:color w:val="EE0000"/>
                <w:szCs w:val="22"/>
              </w:rPr>
            </w:pPr>
            <w:r w:rsidRPr="00DC2224">
              <w:rPr>
                <w:i/>
                <w:iCs/>
                <w:color w:val="EE0000"/>
                <w:szCs w:val="22"/>
              </w:rPr>
              <w:t>[Role or committee]</w:t>
            </w:r>
          </w:p>
        </w:tc>
      </w:tr>
      <w:tr w:rsidR="00112660" w14:paraId="3A4A0C8A" w14:textId="77777777" w:rsidTr="00DC2224">
        <w:trPr>
          <w:trHeight w:val="375"/>
        </w:trPr>
        <w:tc>
          <w:tcPr>
            <w:tcW w:w="3681" w:type="dxa"/>
            <w:tcBorders>
              <w:bottom w:val="single" w:sz="4" w:space="0" w:color="BFBFBF" w:themeColor="background1" w:themeShade="BF"/>
            </w:tcBorders>
            <w:shd w:val="clear" w:color="FFFFFF" w:fill="FFFFFF"/>
          </w:tcPr>
          <w:p w14:paraId="411A06B6" w14:textId="77777777" w:rsidR="00112660" w:rsidRPr="00DC2224" w:rsidRDefault="00112660" w:rsidP="00112660">
            <w:pPr>
              <w:pStyle w:val="Compact"/>
              <w:rPr>
                <w:sz w:val="22"/>
                <w:szCs w:val="22"/>
              </w:rPr>
            </w:pPr>
            <w:r w:rsidRPr="00DC2224">
              <w:rPr>
                <w:sz w:val="22"/>
                <w:szCs w:val="22"/>
              </w:rPr>
              <w:t>Effective date</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1E8047AA" w14:textId="6F3FB000" w:rsidR="00112660" w:rsidRPr="00DC2224" w:rsidRDefault="00773698" w:rsidP="00A46FA9">
            <w:pPr>
              <w:rPr>
                <w:i/>
                <w:iCs/>
                <w:color w:val="EE0000"/>
                <w:szCs w:val="22"/>
              </w:rPr>
            </w:pPr>
            <w:r w:rsidRPr="00DC2224">
              <w:rPr>
                <w:i/>
                <w:iCs/>
                <w:color w:val="EE0000"/>
                <w:szCs w:val="22"/>
              </w:rPr>
              <w:t>[Date]</w:t>
            </w:r>
          </w:p>
        </w:tc>
      </w:tr>
      <w:tr w:rsidR="00112660" w14:paraId="2ACADBB9" w14:textId="77777777" w:rsidTr="00DC2224">
        <w:trPr>
          <w:trHeight w:val="366"/>
        </w:trPr>
        <w:tc>
          <w:tcPr>
            <w:tcW w:w="3681" w:type="dxa"/>
            <w:tcBorders>
              <w:bottom w:val="single" w:sz="4" w:space="0" w:color="BFBFBF" w:themeColor="background1" w:themeShade="BF"/>
            </w:tcBorders>
            <w:shd w:val="clear" w:color="FFFFFF" w:fill="FFFFFF"/>
          </w:tcPr>
          <w:p w14:paraId="45CFE46C" w14:textId="77777777" w:rsidR="00112660" w:rsidRPr="00DC2224" w:rsidRDefault="00112660" w:rsidP="00112660">
            <w:pPr>
              <w:pStyle w:val="Compact"/>
              <w:rPr>
                <w:sz w:val="22"/>
                <w:szCs w:val="22"/>
              </w:rPr>
            </w:pPr>
            <w:r w:rsidRPr="00DC2224">
              <w:rPr>
                <w:sz w:val="22"/>
                <w:szCs w:val="22"/>
              </w:rPr>
              <w:t>Review date</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537AD85A" w14:textId="29DC485E" w:rsidR="00112660" w:rsidRPr="00DC2224" w:rsidRDefault="00773698" w:rsidP="00A46FA9">
            <w:pPr>
              <w:rPr>
                <w:i/>
                <w:iCs/>
                <w:color w:val="EE0000"/>
                <w:szCs w:val="22"/>
              </w:rPr>
            </w:pPr>
            <w:r w:rsidRPr="00DC2224">
              <w:rPr>
                <w:i/>
                <w:iCs/>
                <w:color w:val="EE0000"/>
                <w:szCs w:val="22"/>
              </w:rPr>
              <w:t>[Date]</w:t>
            </w:r>
          </w:p>
        </w:tc>
      </w:tr>
      <w:tr w:rsidR="00112660" w14:paraId="08E06FF7" w14:textId="77777777" w:rsidTr="00DC2224">
        <w:trPr>
          <w:trHeight w:val="375"/>
        </w:trPr>
        <w:tc>
          <w:tcPr>
            <w:tcW w:w="3681" w:type="dxa"/>
            <w:tcBorders>
              <w:bottom w:val="single" w:sz="4" w:space="0" w:color="BFBFBF" w:themeColor="background1" w:themeShade="BF"/>
            </w:tcBorders>
            <w:shd w:val="clear" w:color="FFFFFF" w:fill="FFFFFF"/>
          </w:tcPr>
          <w:p w14:paraId="435C18AE" w14:textId="77777777" w:rsidR="00112660" w:rsidRPr="00DC2224" w:rsidRDefault="00112660" w:rsidP="00112660">
            <w:pPr>
              <w:pStyle w:val="Compact"/>
              <w:rPr>
                <w:sz w:val="22"/>
                <w:szCs w:val="22"/>
              </w:rPr>
            </w:pPr>
            <w:r w:rsidRPr="00DC2224">
              <w:rPr>
                <w:sz w:val="22"/>
                <w:szCs w:val="22"/>
              </w:rPr>
              <w:t>Practice software</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3F2BA833" w14:textId="615666C6" w:rsidR="00112660" w:rsidRPr="00DC2224" w:rsidRDefault="00773698" w:rsidP="00A46FA9">
            <w:pPr>
              <w:rPr>
                <w:i/>
                <w:iCs/>
                <w:color w:val="EE0000"/>
                <w:szCs w:val="22"/>
              </w:rPr>
            </w:pPr>
            <w:r w:rsidRPr="00DC2224">
              <w:rPr>
                <w:i/>
                <w:iCs/>
                <w:color w:val="EE0000"/>
                <w:szCs w:val="22"/>
              </w:rPr>
              <w:t>[System]</w:t>
            </w:r>
          </w:p>
        </w:tc>
      </w:tr>
      <w:tr w:rsidR="00112660" w14:paraId="38E19ECF" w14:textId="77777777" w:rsidTr="00DC2224">
        <w:trPr>
          <w:trHeight w:val="375"/>
        </w:trPr>
        <w:tc>
          <w:tcPr>
            <w:tcW w:w="3681" w:type="dxa"/>
            <w:tcBorders>
              <w:bottom w:val="single" w:sz="4" w:space="0" w:color="BFBFBF" w:themeColor="background1" w:themeShade="BF"/>
            </w:tcBorders>
            <w:shd w:val="clear" w:color="FFFFFF" w:fill="FFFFFF"/>
          </w:tcPr>
          <w:p w14:paraId="25341C7E" w14:textId="77777777" w:rsidR="00112660" w:rsidRPr="00DC2224" w:rsidRDefault="00112660" w:rsidP="00112660">
            <w:pPr>
              <w:pStyle w:val="Compact"/>
              <w:rPr>
                <w:sz w:val="22"/>
                <w:szCs w:val="22"/>
              </w:rPr>
            </w:pPr>
            <w:r w:rsidRPr="00DC2224">
              <w:rPr>
                <w:sz w:val="22"/>
                <w:szCs w:val="22"/>
              </w:rPr>
              <w:t>Claiming system</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5B35C55E" w14:textId="05235C3F" w:rsidR="00112660" w:rsidRPr="00DC2224" w:rsidRDefault="00773698" w:rsidP="00A46FA9">
            <w:pPr>
              <w:rPr>
                <w:i/>
                <w:iCs/>
                <w:color w:val="EE0000"/>
                <w:szCs w:val="22"/>
              </w:rPr>
            </w:pPr>
            <w:r w:rsidRPr="00DC2224">
              <w:rPr>
                <w:i/>
                <w:iCs/>
                <w:color w:val="EE0000"/>
                <w:szCs w:val="22"/>
              </w:rPr>
              <w:t>[System]</w:t>
            </w:r>
          </w:p>
        </w:tc>
      </w:tr>
      <w:tr w:rsidR="00112660" w14:paraId="6C86193D" w14:textId="77777777" w:rsidTr="00DC2224">
        <w:trPr>
          <w:trHeight w:val="375"/>
        </w:trPr>
        <w:tc>
          <w:tcPr>
            <w:tcW w:w="3681" w:type="dxa"/>
            <w:tcBorders>
              <w:bottom w:val="single" w:sz="4" w:space="0" w:color="BFBFBF" w:themeColor="background1" w:themeShade="BF"/>
            </w:tcBorders>
            <w:shd w:val="clear" w:color="FFFFFF" w:fill="FFFFFF"/>
          </w:tcPr>
          <w:p w14:paraId="4296481C" w14:textId="77777777" w:rsidR="00112660" w:rsidRPr="00DC2224" w:rsidRDefault="00112660" w:rsidP="00112660">
            <w:pPr>
              <w:pStyle w:val="Compact"/>
              <w:rPr>
                <w:sz w:val="22"/>
                <w:szCs w:val="22"/>
              </w:rPr>
            </w:pPr>
            <w:r w:rsidRPr="00DC2224">
              <w:rPr>
                <w:sz w:val="22"/>
                <w:szCs w:val="22"/>
              </w:rPr>
              <w:t>Patient engagement system</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1A593D01" w14:textId="61A22E13" w:rsidR="00112660" w:rsidRPr="00DC2224" w:rsidRDefault="00773698" w:rsidP="00A46FA9">
            <w:pPr>
              <w:rPr>
                <w:i/>
                <w:iCs/>
                <w:color w:val="EE0000"/>
                <w:szCs w:val="22"/>
              </w:rPr>
            </w:pPr>
            <w:r w:rsidRPr="00DC2224">
              <w:rPr>
                <w:i/>
                <w:iCs/>
                <w:color w:val="EE0000"/>
                <w:szCs w:val="22"/>
              </w:rPr>
              <w:t>[System]</w:t>
            </w:r>
          </w:p>
        </w:tc>
      </w:tr>
      <w:tr w:rsidR="00112660" w14:paraId="6C5CCE5F" w14:textId="77777777" w:rsidTr="00DC2224">
        <w:trPr>
          <w:trHeight w:val="366"/>
        </w:trPr>
        <w:tc>
          <w:tcPr>
            <w:tcW w:w="3681" w:type="dxa"/>
            <w:tcBorders>
              <w:bottom w:val="single" w:sz="4" w:space="0" w:color="BFBFBF" w:themeColor="background1" w:themeShade="BF"/>
            </w:tcBorders>
            <w:shd w:val="clear" w:color="FFFFFF" w:fill="FFFFFF"/>
          </w:tcPr>
          <w:p w14:paraId="6F833D1B" w14:textId="77777777" w:rsidR="00112660" w:rsidRPr="00DC2224" w:rsidRDefault="00112660" w:rsidP="00112660">
            <w:pPr>
              <w:pStyle w:val="Compact"/>
              <w:rPr>
                <w:sz w:val="22"/>
                <w:szCs w:val="22"/>
              </w:rPr>
            </w:pPr>
            <w:r w:rsidRPr="00DC2224">
              <w:rPr>
                <w:sz w:val="22"/>
                <w:szCs w:val="22"/>
              </w:rPr>
              <w:t>Assignment of Benefit record location</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18CC3011" w14:textId="7123000D" w:rsidR="00112660" w:rsidRPr="00DC2224" w:rsidRDefault="00773698" w:rsidP="00A46FA9">
            <w:pPr>
              <w:rPr>
                <w:i/>
                <w:iCs/>
                <w:color w:val="EE0000"/>
                <w:szCs w:val="22"/>
              </w:rPr>
            </w:pPr>
            <w:r w:rsidRPr="00DC2224">
              <w:rPr>
                <w:i/>
                <w:iCs/>
                <w:color w:val="EE0000"/>
                <w:szCs w:val="22"/>
              </w:rPr>
              <w:t>[System or location]</w:t>
            </w:r>
          </w:p>
        </w:tc>
      </w:tr>
      <w:tr w:rsidR="00112660" w14:paraId="401494FF" w14:textId="77777777" w:rsidTr="00DC2224">
        <w:trPr>
          <w:trHeight w:val="375"/>
        </w:trPr>
        <w:tc>
          <w:tcPr>
            <w:tcW w:w="3681" w:type="dxa"/>
            <w:shd w:val="clear" w:color="FFFFFF" w:fill="FFFFFF"/>
          </w:tcPr>
          <w:p w14:paraId="3F65F651" w14:textId="77777777" w:rsidR="00112660" w:rsidRPr="00DC2224" w:rsidRDefault="00112660" w:rsidP="00112660">
            <w:pPr>
              <w:pStyle w:val="Compact"/>
              <w:rPr>
                <w:sz w:val="22"/>
                <w:szCs w:val="22"/>
              </w:rPr>
            </w:pPr>
            <w:r w:rsidRPr="00DC2224">
              <w:rPr>
                <w:sz w:val="22"/>
                <w:szCs w:val="22"/>
              </w:rPr>
              <w:t>Escalation contact</w:t>
            </w:r>
          </w:p>
        </w:tc>
        <w:tc>
          <w:tcPr>
            <w:tcW w:w="5728" w:type="dxa"/>
            <w:tcBorders>
              <w:top w:val="single" w:sz="8" w:space="0" w:color="BFBFBF"/>
              <w:left w:val="nil"/>
              <w:bottom w:val="single" w:sz="8" w:space="0" w:color="BFBFBF"/>
              <w:right w:val="single" w:sz="8" w:space="0" w:color="BFBFBF"/>
            </w:tcBorders>
            <w:shd w:val="clear" w:color="auto" w:fill="FFFFFF" w:themeFill="background1"/>
            <w:tcMar>
              <w:top w:w="0" w:type="dxa"/>
              <w:left w:w="108" w:type="dxa"/>
              <w:bottom w:w="0" w:type="dxa"/>
              <w:right w:w="108" w:type="dxa"/>
            </w:tcMar>
          </w:tcPr>
          <w:p w14:paraId="45A7592B" w14:textId="042BBFD2" w:rsidR="00112660" w:rsidRPr="00DC2224" w:rsidRDefault="00773698" w:rsidP="00A46FA9">
            <w:pPr>
              <w:rPr>
                <w:i/>
                <w:iCs/>
                <w:color w:val="EE0000"/>
                <w:szCs w:val="22"/>
              </w:rPr>
            </w:pPr>
            <w:r w:rsidRPr="00DC2224">
              <w:rPr>
                <w:i/>
                <w:iCs/>
                <w:color w:val="EE0000"/>
                <w:szCs w:val="22"/>
              </w:rPr>
              <w:t>[Name or role]</w:t>
            </w:r>
          </w:p>
        </w:tc>
      </w:tr>
    </w:tbl>
    <w:p w14:paraId="70A4D453" w14:textId="0A2CD665" w:rsidR="007426A4" w:rsidRDefault="00773698" w:rsidP="001A42D4">
      <w:pPr>
        <w:pStyle w:val="Heading2"/>
        <w:numPr>
          <w:ilvl w:val="0"/>
          <w:numId w:val="12"/>
        </w:numPr>
      </w:pPr>
      <w:bookmarkStart w:id="4" w:name="purpose"/>
      <w:bookmarkEnd w:id="3"/>
      <w:r>
        <w:t>Purpose</w:t>
      </w:r>
    </w:p>
    <w:p w14:paraId="7E725E3F" w14:textId="77777777" w:rsidR="007426A4" w:rsidRDefault="00773698">
      <w:pPr>
        <w:pStyle w:val="FirstParagraph"/>
      </w:pPr>
      <w:r>
        <w:t xml:space="preserve">This procedure describes how </w:t>
      </w:r>
      <w:r w:rsidRPr="00D21E64">
        <w:rPr>
          <w:i/>
          <w:color w:val="EE0000"/>
          <w:shd w:val="clear" w:color="auto" w:fill="FFFFFF"/>
        </w:rPr>
        <w:t>[practice name]</w:t>
      </w:r>
      <w:r w:rsidRPr="00D21E64">
        <w:rPr>
          <w:color w:val="EE0000"/>
        </w:rPr>
        <w:t xml:space="preserve"> </w:t>
      </w:r>
      <w:r>
        <w:t>obtains, checks, records and stores Assignment of Benefit agreements before submitting Medicare bulk-billed claims.</w:t>
      </w:r>
    </w:p>
    <w:p w14:paraId="04969EE3" w14:textId="77777777" w:rsidR="007426A4" w:rsidRPr="00D21E64" w:rsidRDefault="00773698">
      <w:pPr>
        <w:pStyle w:val="BodyText"/>
        <w:rPr>
          <w:b/>
          <w:bCs/>
        </w:rPr>
      </w:pPr>
      <w:r w:rsidRPr="00D21E64">
        <w:rPr>
          <w:b/>
          <w:bCs/>
        </w:rPr>
        <w:lastRenderedPageBreak/>
        <w:t>A bulk-billed claim must not be submitted unless a valid Assignment of Benefit agreement covers the service.</w:t>
      </w:r>
    </w:p>
    <w:p w14:paraId="215A11A8" w14:textId="77777777" w:rsidR="007426A4" w:rsidRDefault="00773698">
      <w:pPr>
        <w:pStyle w:val="Heading2"/>
      </w:pPr>
      <w:bookmarkStart w:id="5" w:name="practice-approach"/>
      <w:bookmarkEnd w:id="4"/>
      <w:r>
        <w:t>2. Practice approach</w:t>
      </w:r>
    </w:p>
    <w:p w14:paraId="39C6C4E0" w14:textId="77777777" w:rsidR="00F43E98" w:rsidRPr="00F43E98" w:rsidRDefault="00E63AF5" w:rsidP="00DC2224">
      <w:pPr>
        <w:pStyle w:val="BlockText"/>
        <w:ind w:left="0" w:right="0"/>
        <w:rPr>
          <w:i/>
          <w:iCs/>
        </w:rPr>
      </w:pPr>
      <w:r w:rsidRPr="00F43E98">
        <w:rPr>
          <w:i/>
          <w:iCs/>
        </w:rPr>
        <w:t>Choose the practice’s usual episodic approach. A mixed approach may be used where different service types or workflows are better suited to pre-service or post-service assignment, including where the final practitioner or service may change.</w:t>
      </w:r>
    </w:p>
    <w:p w14:paraId="17640D6F" w14:textId="6515471E" w:rsidR="007426A4" w:rsidRDefault="008C1916" w:rsidP="00DC2224">
      <w:pPr>
        <w:pStyle w:val="BlockText"/>
        <w:ind w:left="0" w:right="0"/>
      </w:pPr>
      <w:r w:rsidRPr="008C1916">
        <w:rPr>
          <w:i/>
          <w:iCs/>
        </w:rPr>
        <w:t>For example: pre-service assignment for booked appointments; post-service assignment for walk-ins or workflows where the practitioner or service frequently changes, or where the final service falls outside the agreed basic service description.</w:t>
      </w:r>
    </w:p>
    <w:p w14:paraId="74642606" w14:textId="77777777" w:rsidR="007426A4" w:rsidRDefault="00773698" w:rsidP="00DC2224">
      <w:pPr>
        <w:pStyle w:val="BodyText"/>
      </w:pPr>
      <w:r>
        <w:t>☐ Episodic pre-service assignment</w:t>
      </w:r>
      <w:r>
        <w:br/>
        <w:t>☐ Episodic post-service assignment</w:t>
      </w:r>
      <w:r>
        <w:br/>
        <w:t>☐ A mix of pre-service and post-service assignment</w:t>
      </w:r>
    </w:p>
    <w:p w14:paraId="4113B80E" w14:textId="77777777" w:rsidR="007426A4" w:rsidRDefault="00773698" w:rsidP="00DC2224">
      <w:pPr>
        <w:pStyle w:val="BodyText"/>
      </w:pPr>
      <w:r>
        <w:t>Where a mixed approach is used:</w:t>
      </w:r>
    </w:p>
    <w:p w14:paraId="2C88BEF0" w14:textId="77777777" w:rsidR="007426A4" w:rsidRPr="00A46FA9" w:rsidRDefault="00773698" w:rsidP="00DC2224">
      <w:pPr>
        <w:pStyle w:val="BodyText"/>
        <w:rPr>
          <w:i/>
          <w:iCs/>
          <w:color w:val="EE0000"/>
        </w:rPr>
      </w:pPr>
      <w:r w:rsidRPr="00D54339">
        <w:rPr>
          <w:i/>
          <w:iCs/>
          <w:color w:val="EE0000"/>
          <w:shd w:val="clear" w:color="auto" w:fill="FFFFFF"/>
        </w:rPr>
        <w:t>[Describe when pre-service and post-service assignment apply.]</w:t>
      </w:r>
    </w:p>
    <w:p w14:paraId="1511CC77" w14:textId="77777777" w:rsidR="007426A4" w:rsidRDefault="00773698" w:rsidP="00DC2224">
      <w:pPr>
        <w:pStyle w:val="BodyText"/>
      </w:pPr>
      <w:r>
        <w:t>The practice also uses:</w:t>
      </w:r>
    </w:p>
    <w:p w14:paraId="66DDAB73" w14:textId="77777777" w:rsidR="007426A4" w:rsidRDefault="00773698" w:rsidP="00DC2224">
      <w:pPr>
        <w:pStyle w:val="BodyText"/>
      </w:pPr>
      <w:r>
        <w:t>☐ MyMedicare enduring assignment</w:t>
      </w:r>
      <w:r>
        <w:br/>
        <w:t>☐ Residential aged-care home enduring assignment</w:t>
      </w:r>
      <w:r>
        <w:br/>
        <w:t>☐ ACCHO or AMS enduring assignment</w:t>
      </w:r>
      <w:r>
        <w:br/>
        <w:t>☐ No enduring assignment</w:t>
      </w:r>
    </w:p>
    <w:p w14:paraId="6D40BA25" w14:textId="1D10059D" w:rsidR="007426A4" w:rsidRPr="004B5D2A" w:rsidRDefault="00773698" w:rsidP="00DC2224">
      <w:pPr>
        <w:pStyle w:val="Heading2"/>
        <w:numPr>
          <w:ilvl w:val="0"/>
          <w:numId w:val="17"/>
        </w:numPr>
        <w:rPr>
          <w:rFonts w:asciiTheme="minorHAnsi" w:hAnsiTheme="minorHAnsi"/>
        </w:rPr>
      </w:pPr>
      <w:bookmarkStart w:id="6" w:name="normal-workflows"/>
      <w:bookmarkEnd w:id="5"/>
      <w:r w:rsidRPr="004B5D2A">
        <w:rPr>
          <w:rFonts w:asciiTheme="minorHAnsi" w:hAnsiTheme="minorHAnsi"/>
        </w:rPr>
        <w:t>Normal workflows</w:t>
      </w:r>
    </w:p>
    <w:p w14:paraId="374D332F" w14:textId="77777777" w:rsidR="000A3E02" w:rsidRPr="004B5D2A" w:rsidRDefault="007B06ED" w:rsidP="00DC2224">
      <w:pPr>
        <w:pStyle w:val="BlockText"/>
        <w:numPr>
          <w:ilvl w:val="0"/>
          <w:numId w:val="14"/>
        </w:numPr>
        <w:rPr>
          <w:rFonts w:asciiTheme="minorHAnsi" w:hAnsiTheme="minorHAnsi"/>
          <w:i/>
          <w:iCs/>
        </w:rPr>
      </w:pPr>
      <w:r w:rsidRPr="004B5D2A">
        <w:rPr>
          <w:rFonts w:asciiTheme="minorHAnsi" w:hAnsiTheme="minorHAnsi"/>
          <w:i/>
          <w:iCs/>
        </w:rPr>
        <w:t>Keep only the workflows used by the practice</w:t>
      </w:r>
    </w:p>
    <w:p w14:paraId="6334A512" w14:textId="1C605943" w:rsidR="007B06ED" w:rsidRPr="004B5D2A" w:rsidRDefault="007B06ED" w:rsidP="00DC2224">
      <w:pPr>
        <w:pStyle w:val="BlockText"/>
        <w:numPr>
          <w:ilvl w:val="0"/>
          <w:numId w:val="14"/>
        </w:numPr>
        <w:rPr>
          <w:rFonts w:asciiTheme="minorHAnsi" w:hAnsiTheme="minorHAnsi"/>
          <w:i/>
          <w:iCs/>
        </w:rPr>
      </w:pPr>
      <w:r w:rsidRPr="004B5D2A">
        <w:rPr>
          <w:rFonts w:asciiTheme="minorHAnsi" w:hAnsiTheme="minorHAnsi"/>
          <w:i/>
          <w:iCs/>
        </w:rPr>
        <w:t>Retain telehealth as a separate workflow where the patient’s absence changes how agreement can be obtained.</w:t>
      </w:r>
    </w:p>
    <w:p w14:paraId="57437707" w14:textId="77777777" w:rsidR="004B5D2A" w:rsidRPr="004B5D2A" w:rsidRDefault="007B06ED" w:rsidP="00DC2224">
      <w:pPr>
        <w:pStyle w:val="BlockText"/>
        <w:numPr>
          <w:ilvl w:val="0"/>
          <w:numId w:val="14"/>
        </w:numPr>
        <w:rPr>
          <w:rFonts w:asciiTheme="minorHAnsi" w:hAnsiTheme="minorHAnsi"/>
          <w:i/>
          <w:iCs/>
        </w:rPr>
      </w:pPr>
      <w:r w:rsidRPr="004B5D2A">
        <w:rPr>
          <w:rFonts w:asciiTheme="minorHAnsi" w:hAnsiTheme="minorHAnsi"/>
          <w:i/>
          <w:iCs/>
        </w:rPr>
        <w:t>In the fallback column, name the relevant fallback method rather than repeating the full process.</w:t>
      </w:r>
    </w:p>
    <w:p w14:paraId="32AFAAAC" w14:textId="241BBD8C" w:rsidR="00DF0A66" w:rsidRPr="004B5D2A" w:rsidRDefault="00AE7536" w:rsidP="00DC2224">
      <w:pPr>
        <w:pStyle w:val="BlockText"/>
        <w:numPr>
          <w:ilvl w:val="0"/>
          <w:numId w:val="14"/>
        </w:numPr>
        <w:rPr>
          <w:rFonts w:asciiTheme="minorHAnsi" w:hAnsiTheme="minorHAnsi"/>
          <w:i/>
          <w:iCs/>
        </w:rPr>
      </w:pPr>
      <w:r w:rsidRPr="004B5D2A">
        <w:rPr>
          <w:rFonts w:asciiTheme="minorHAnsi" w:eastAsia="Times New Roman" w:hAnsiTheme="minorHAnsi" w:cs="Segoe UI"/>
          <w:i/>
          <w:iCs/>
          <w:sz w:val="21"/>
          <w:szCs w:val="21"/>
          <w:lang w:val="en-AU" w:eastAsia="zh-CN" w:bidi="th-TH"/>
        </w:rPr>
        <w:t>Where MyMedicare enduring assignment is used, document who registers the agreement with Services Australia from 1 July 2027, who sends the required written notification within 24 hours after each claim, how the notification is sent, and where evidence of both registration and notification is retained.</w:t>
      </w:r>
    </w:p>
    <w:p w14:paraId="0C332243" w14:textId="70B3323E" w:rsidR="00A21E22" w:rsidRPr="004B5D2A" w:rsidRDefault="008C1916" w:rsidP="00DC2224">
      <w:pPr>
        <w:pStyle w:val="BlockText"/>
        <w:numPr>
          <w:ilvl w:val="0"/>
          <w:numId w:val="14"/>
        </w:numPr>
        <w:rPr>
          <w:rFonts w:asciiTheme="minorHAnsi" w:hAnsiTheme="minorHAnsi"/>
          <w:i/>
          <w:iCs/>
        </w:rPr>
      </w:pPr>
      <w:r w:rsidRPr="004B5D2A">
        <w:rPr>
          <w:rFonts w:asciiTheme="minorHAnsi" w:hAnsiTheme="minorHAnsi"/>
          <w:i/>
          <w:iCs/>
        </w:rPr>
        <w:t xml:space="preserve">Use or adapt the current government enduring agreement </w:t>
      </w:r>
      <w:proofErr w:type="gramStart"/>
      <w:r w:rsidRPr="004B5D2A">
        <w:rPr>
          <w:rFonts w:asciiTheme="minorHAnsi" w:hAnsiTheme="minorHAnsi"/>
          <w:i/>
          <w:iCs/>
        </w:rPr>
        <w:t>template, or</w:t>
      </w:r>
      <w:proofErr w:type="gramEnd"/>
      <w:r w:rsidRPr="004B5D2A">
        <w:rPr>
          <w:rFonts w:asciiTheme="minorHAnsi" w:hAnsiTheme="minorHAnsi"/>
          <w:i/>
          <w:iCs/>
        </w:rPr>
        <w:t xml:space="preserve"> ensure the practice’s agreement contains the required information.</w:t>
      </w:r>
    </w:p>
    <w:p w14:paraId="2ADBD61C" w14:textId="77777777" w:rsidR="00D65C35" w:rsidRPr="00D65C35" w:rsidRDefault="00D65C35" w:rsidP="00D65C35">
      <w:pPr>
        <w:pStyle w:val="BodyText"/>
        <w:rPr>
          <w:lang w:val="en-AU" w:eastAsia="zh-CN" w:bidi="th-TH"/>
        </w:rPr>
      </w:pPr>
    </w:p>
    <w:tbl>
      <w:tblPr>
        <w:tblStyle w:val="TableGridLight"/>
        <w:tblW w:w="4942" w:type="pct"/>
        <w:tblLayout w:type="fixed"/>
        <w:tblLook w:val="0020" w:firstRow="1" w:lastRow="0" w:firstColumn="0" w:lastColumn="0" w:noHBand="0" w:noVBand="0"/>
      </w:tblPr>
      <w:tblGrid>
        <w:gridCol w:w="1599"/>
        <w:gridCol w:w="2059"/>
        <w:gridCol w:w="2557"/>
        <w:gridCol w:w="1562"/>
        <w:gridCol w:w="1705"/>
      </w:tblGrid>
      <w:tr w:rsidR="00605829" w14:paraId="16BCA1BB" w14:textId="77777777" w:rsidTr="0019689D">
        <w:tc>
          <w:tcPr>
            <w:tcW w:w="1597" w:type="dxa"/>
            <w:tcBorders>
              <w:bottom w:val="single" w:sz="4" w:space="0" w:color="BFBFBF" w:themeColor="background1" w:themeShade="BF"/>
            </w:tcBorders>
            <w:shd w:val="clear" w:color="FFFFFF" w:fill="FFFFFF"/>
          </w:tcPr>
          <w:p w14:paraId="67320D62" w14:textId="77777777" w:rsidR="00605829" w:rsidRPr="00DC2224" w:rsidRDefault="00605829">
            <w:pPr>
              <w:pStyle w:val="Compact"/>
              <w:rPr>
                <w:b/>
                <w:bCs/>
                <w:sz w:val="22"/>
                <w:szCs w:val="22"/>
              </w:rPr>
            </w:pPr>
            <w:r w:rsidRPr="00DC2224">
              <w:rPr>
                <w:b/>
                <w:bCs/>
                <w:sz w:val="22"/>
                <w:szCs w:val="22"/>
              </w:rPr>
              <w:t>Workflow</w:t>
            </w:r>
          </w:p>
        </w:tc>
        <w:tc>
          <w:tcPr>
            <w:tcW w:w="2055" w:type="dxa"/>
            <w:tcBorders>
              <w:bottom w:val="single" w:sz="4" w:space="0" w:color="BFBFBF" w:themeColor="background1" w:themeShade="BF"/>
            </w:tcBorders>
            <w:shd w:val="clear" w:color="FFFFFF" w:fill="FFFFFF"/>
          </w:tcPr>
          <w:p w14:paraId="063850D5" w14:textId="77777777" w:rsidR="00605829" w:rsidRPr="00DC2224" w:rsidRDefault="00605829">
            <w:pPr>
              <w:pStyle w:val="Compact"/>
              <w:rPr>
                <w:b/>
                <w:bCs/>
                <w:sz w:val="22"/>
                <w:szCs w:val="22"/>
              </w:rPr>
            </w:pPr>
            <w:r w:rsidRPr="00DC2224">
              <w:rPr>
                <w:b/>
                <w:bCs/>
                <w:sz w:val="22"/>
                <w:szCs w:val="22"/>
              </w:rPr>
              <w:t>Primary method</w:t>
            </w:r>
          </w:p>
        </w:tc>
        <w:tc>
          <w:tcPr>
            <w:tcW w:w="2552" w:type="dxa"/>
            <w:tcBorders>
              <w:bottom w:val="single" w:sz="4" w:space="0" w:color="BFBFBF" w:themeColor="background1" w:themeShade="BF"/>
            </w:tcBorders>
            <w:shd w:val="clear" w:color="FFFFFF" w:fill="FFFFFF"/>
          </w:tcPr>
          <w:p w14:paraId="3981A1E5" w14:textId="77777777" w:rsidR="00605829" w:rsidRPr="00DC2224" w:rsidRDefault="00605829">
            <w:pPr>
              <w:pStyle w:val="Compact"/>
              <w:rPr>
                <w:b/>
                <w:bCs/>
                <w:sz w:val="22"/>
                <w:szCs w:val="22"/>
              </w:rPr>
            </w:pPr>
            <w:r w:rsidRPr="00DC2224">
              <w:rPr>
                <w:b/>
                <w:bCs/>
                <w:sz w:val="22"/>
                <w:szCs w:val="22"/>
              </w:rPr>
              <w:t>When obtained</w:t>
            </w:r>
          </w:p>
        </w:tc>
        <w:tc>
          <w:tcPr>
            <w:tcW w:w="1559" w:type="dxa"/>
            <w:tcBorders>
              <w:bottom w:val="single" w:sz="4" w:space="0" w:color="BFBFBF" w:themeColor="background1" w:themeShade="BF"/>
            </w:tcBorders>
            <w:shd w:val="clear" w:color="FFFFFF" w:fill="FFFFFF"/>
          </w:tcPr>
          <w:p w14:paraId="3D2C8F9B" w14:textId="77777777" w:rsidR="00605829" w:rsidRPr="00DC2224" w:rsidRDefault="00605829">
            <w:pPr>
              <w:pStyle w:val="Compact"/>
              <w:rPr>
                <w:b/>
                <w:bCs/>
                <w:sz w:val="22"/>
                <w:szCs w:val="22"/>
              </w:rPr>
            </w:pPr>
            <w:r w:rsidRPr="00DC2224">
              <w:rPr>
                <w:b/>
                <w:bCs/>
                <w:sz w:val="22"/>
                <w:szCs w:val="22"/>
              </w:rPr>
              <w:t>Responsible role</w:t>
            </w:r>
          </w:p>
        </w:tc>
        <w:tc>
          <w:tcPr>
            <w:tcW w:w="1702" w:type="dxa"/>
            <w:tcBorders>
              <w:bottom w:val="single" w:sz="4" w:space="0" w:color="BFBFBF" w:themeColor="background1" w:themeShade="BF"/>
            </w:tcBorders>
            <w:shd w:val="clear" w:color="FFFFFF" w:fill="FFFFFF"/>
          </w:tcPr>
          <w:p w14:paraId="6E3F8ACC" w14:textId="77777777" w:rsidR="00605829" w:rsidRPr="00DC2224" w:rsidRDefault="00605829">
            <w:pPr>
              <w:pStyle w:val="Compact"/>
              <w:rPr>
                <w:b/>
                <w:bCs/>
                <w:sz w:val="22"/>
                <w:szCs w:val="22"/>
              </w:rPr>
            </w:pPr>
            <w:r w:rsidRPr="00DC2224">
              <w:rPr>
                <w:b/>
                <w:bCs/>
                <w:sz w:val="22"/>
                <w:szCs w:val="22"/>
              </w:rPr>
              <w:t>Fallback</w:t>
            </w:r>
          </w:p>
        </w:tc>
      </w:tr>
      <w:tr w:rsidR="00605829" w14:paraId="2EF4E332" w14:textId="77777777" w:rsidTr="0019689D">
        <w:tc>
          <w:tcPr>
            <w:tcW w:w="1597" w:type="dxa"/>
            <w:tcBorders>
              <w:bottom w:val="single" w:sz="4" w:space="0" w:color="BFBFBF" w:themeColor="background1" w:themeShade="BF"/>
            </w:tcBorders>
            <w:shd w:val="clear" w:color="FFFFFF" w:fill="FFFFFF"/>
          </w:tcPr>
          <w:p w14:paraId="5D9552E1" w14:textId="77777777" w:rsidR="00605829" w:rsidRPr="00DC2224" w:rsidRDefault="00605829">
            <w:pPr>
              <w:pStyle w:val="Compact"/>
              <w:rPr>
                <w:sz w:val="22"/>
                <w:szCs w:val="22"/>
              </w:rPr>
            </w:pPr>
            <w:r w:rsidRPr="00DC2224">
              <w:rPr>
                <w:sz w:val="22"/>
                <w:szCs w:val="22"/>
              </w:rPr>
              <w:t>Episodic pre-service</w:t>
            </w:r>
          </w:p>
        </w:tc>
        <w:tc>
          <w:tcPr>
            <w:tcW w:w="2055" w:type="dxa"/>
            <w:tcBorders>
              <w:bottom w:val="single" w:sz="4" w:space="0" w:color="BFBFBF" w:themeColor="background1" w:themeShade="BF"/>
            </w:tcBorders>
            <w:shd w:val="clear" w:color="FFFFFF" w:fill="FFFFFF"/>
          </w:tcPr>
          <w:p w14:paraId="44997AAC" w14:textId="77777777" w:rsidR="00605829" w:rsidRPr="00DC2224" w:rsidRDefault="00605829">
            <w:pPr>
              <w:pStyle w:val="Compact"/>
              <w:rPr>
                <w:color w:val="EE0000"/>
                <w:sz w:val="22"/>
                <w:szCs w:val="22"/>
              </w:rPr>
            </w:pPr>
            <w:r w:rsidRPr="00DC2224">
              <w:rPr>
                <w:i/>
                <w:color w:val="EE0000"/>
                <w:sz w:val="22"/>
                <w:szCs w:val="22"/>
              </w:rPr>
              <w:t>[SMS / PMS / patient portal / tablet / paper / other]</w:t>
            </w:r>
          </w:p>
        </w:tc>
        <w:tc>
          <w:tcPr>
            <w:tcW w:w="2552" w:type="dxa"/>
            <w:tcBorders>
              <w:bottom w:val="single" w:sz="4" w:space="0" w:color="BFBFBF" w:themeColor="background1" w:themeShade="BF"/>
            </w:tcBorders>
            <w:shd w:val="clear" w:color="FFFFFF" w:fill="FFFFFF"/>
          </w:tcPr>
          <w:p w14:paraId="4F03F8C4" w14:textId="77777777" w:rsidR="00605829" w:rsidRPr="00DC2224" w:rsidRDefault="00605829">
            <w:pPr>
              <w:pStyle w:val="Compact"/>
              <w:rPr>
                <w:color w:val="EE0000"/>
                <w:sz w:val="22"/>
                <w:szCs w:val="22"/>
              </w:rPr>
            </w:pPr>
            <w:r w:rsidRPr="00DC2224">
              <w:rPr>
                <w:i/>
                <w:color w:val="EE0000"/>
                <w:sz w:val="22"/>
                <w:szCs w:val="22"/>
              </w:rPr>
              <w:t>[Booking / before appointment / check-in]</w:t>
            </w:r>
          </w:p>
        </w:tc>
        <w:tc>
          <w:tcPr>
            <w:tcW w:w="1559" w:type="dxa"/>
            <w:tcBorders>
              <w:bottom w:val="single" w:sz="4" w:space="0" w:color="BFBFBF" w:themeColor="background1" w:themeShade="BF"/>
            </w:tcBorders>
            <w:shd w:val="clear" w:color="FFFFFF" w:fill="FFFFFF"/>
          </w:tcPr>
          <w:p w14:paraId="666B60B3" w14:textId="77777777" w:rsidR="00605829" w:rsidRPr="00DC2224" w:rsidRDefault="00605829">
            <w:pPr>
              <w:pStyle w:val="Compact"/>
              <w:rPr>
                <w:color w:val="EE0000"/>
                <w:sz w:val="22"/>
                <w:szCs w:val="22"/>
              </w:rPr>
            </w:pPr>
            <w:r w:rsidRPr="00DC2224">
              <w:rPr>
                <w:i/>
                <w:color w:val="EE0000"/>
                <w:sz w:val="22"/>
                <w:szCs w:val="22"/>
              </w:rPr>
              <w:t>[Role]</w:t>
            </w:r>
          </w:p>
        </w:tc>
        <w:tc>
          <w:tcPr>
            <w:tcW w:w="1702" w:type="dxa"/>
            <w:tcBorders>
              <w:bottom w:val="single" w:sz="4" w:space="0" w:color="BFBFBF" w:themeColor="background1" w:themeShade="BF"/>
            </w:tcBorders>
            <w:shd w:val="clear" w:color="FFFFFF" w:fill="FFFFFF"/>
          </w:tcPr>
          <w:p w14:paraId="309DC0A9" w14:textId="77777777" w:rsidR="00605829" w:rsidRPr="00DC2224" w:rsidRDefault="00605829">
            <w:pPr>
              <w:pStyle w:val="Compact"/>
              <w:rPr>
                <w:color w:val="EE0000"/>
                <w:sz w:val="22"/>
                <w:szCs w:val="22"/>
              </w:rPr>
            </w:pPr>
            <w:r w:rsidRPr="00DC2224">
              <w:rPr>
                <w:i/>
                <w:color w:val="EE0000"/>
                <w:sz w:val="22"/>
                <w:szCs w:val="22"/>
              </w:rPr>
              <w:t>[Fallback method]</w:t>
            </w:r>
          </w:p>
        </w:tc>
      </w:tr>
      <w:tr w:rsidR="00605829" w14:paraId="3FA703C7" w14:textId="77777777" w:rsidTr="0019689D">
        <w:tc>
          <w:tcPr>
            <w:tcW w:w="1597" w:type="dxa"/>
            <w:tcBorders>
              <w:bottom w:val="single" w:sz="4" w:space="0" w:color="BFBFBF" w:themeColor="background1" w:themeShade="BF"/>
            </w:tcBorders>
            <w:shd w:val="clear" w:color="FFFFFF" w:fill="FFFFFF"/>
          </w:tcPr>
          <w:p w14:paraId="03BCB9CD" w14:textId="77777777" w:rsidR="00605829" w:rsidRPr="00DC2224" w:rsidRDefault="00605829">
            <w:pPr>
              <w:pStyle w:val="Compact"/>
              <w:rPr>
                <w:sz w:val="22"/>
                <w:szCs w:val="22"/>
              </w:rPr>
            </w:pPr>
            <w:r w:rsidRPr="00DC2224">
              <w:rPr>
                <w:sz w:val="22"/>
                <w:szCs w:val="22"/>
              </w:rPr>
              <w:t>Episodic post-service</w:t>
            </w:r>
          </w:p>
        </w:tc>
        <w:tc>
          <w:tcPr>
            <w:tcW w:w="2055" w:type="dxa"/>
            <w:tcBorders>
              <w:bottom w:val="single" w:sz="4" w:space="0" w:color="BFBFBF" w:themeColor="background1" w:themeShade="BF"/>
            </w:tcBorders>
            <w:shd w:val="clear" w:color="FFFFFF" w:fill="FFFFFF"/>
          </w:tcPr>
          <w:p w14:paraId="7A30AFA2" w14:textId="77777777" w:rsidR="00605829" w:rsidRPr="00DC2224" w:rsidRDefault="00605829">
            <w:pPr>
              <w:pStyle w:val="Compact"/>
              <w:rPr>
                <w:color w:val="EE0000"/>
                <w:sz w:val="22"/>
                <w:szCs w:val="22"/>
              </w:rPr>
            </w:pPr>
            <w:r w:rsidRPr="00DC2224">
              <w:rPr>
                <w:i/>
                <w:color w:val="EE0000"/>
                <w:sz w:val="22"/>
                <w:szCs w:val="22"/>
              </w:rPr>
              <w:t xml:space="preserve">[PMS / </w:t>
            </w:r>
            <w:proofErr w:type="spellStart"/>
            <w:r w:rsidRPr="00DC2224">
              <w:rPr>
                <w:i/>
                <w:color w:val="EE0000"/>
                <w:sz w:val="22"/>
                <w:szCs w:val="22"/>
              </w:rPr>
              <w:t>Easyclaim</w:t>
            </w:r>
            <w:proofErr w:type="spellEnd"/>
            <w:r w:rsidRPr="00DC2224">
              <w:rPr>
                <w:i/>
                <w:color w:val="EE0000"/>
                <w:sz w:val="22"/>
                <w:szCs w:val="22"/>
              </w:rPr>
              <w:t xml:space="preserve"> / paper / patient platform / other]</w:t>
            </w:r>
          </w:p>
        </w:tc>
        <w:tc>
          <w:tcPr>
            <w:tcW w:w="2552" w:type="dxa"/>
            <w:tcBorders>
              <w:bottom w:val="single" w:sz="4" w:space="0" w:color="BFBFBF" w:themeColor="background1" w:themeShade="BF"/>
            </w:tcBorders>
            <w:shd w:val="clear" w:color="FFFFFF" w:fill="FFFFFF"/>
          </w:tcPr>
          <w:p w14:paraId="38CEC29A" w14:textId="77777777" w:rsidR="00605829" w:rsidRPr="00DC2224" w:rsidRDefault="00605829">
            <w:pPr>
              <w:pStyle w:val="Compact"/>
              <w:rPr>
                <w:color w:val="EE0000"/>
                <w:sz w:val="22"/>
                <w:szCs w:val="22"/>
              </w:rPr>
            </w:pPr>
            <w:r w:rsidRPr="00DC2224">
              <w:rPr>
                <w:i/>
                <w:color w:val="EE0000"/>
                <w:sz w:val="22"/>
                <w:szCs w:val="22"/>
              </w:rPr>
              <w:t xml:space="preserve">[After consultation / </w:t>
            </w:r>
            <w:proofErr w:type="gramStart"/>
            <w:r w:rsidRPr="00DC2224">
              <w:rPr>
                <w:i/>
                <w:color w:val="EE0000"/>
                <w:sz w:val="22"/>
                <w:szCs w:val="22"/>
              </w:rPr>
              <w:t>before claim</w:t>
            </w:r>
            <w:proofErr w:type="gramEnd"/>
            <w:r w:rsidRPr="00DC2224">
              <w:rPr>
                <w:i/>
                <w:color w:val="EE0000"/>
                <w:sz w:val="22"/>
                <w:szCs w:val="22"/>
              </w:rPr>
              <w:t xml:space="preserve"> submission]</w:t>
            </w:r>
          </w:p>
        </w:tc>
        <w:tc>
          <w:tcPr>
            <w:tcW w:w="1559" w:type="dxa"/>
            <w:tcBorders>
              <w:bottom w:val="single" w:sz="4" w:space="0" w:color="BFBFBF" w:themeColor="background1" w:themeShade="BF"/>
            </w:tcBorders>
            <w:shd w:val="clear" w:color="FFFFFF" w:fill="FFFFFF"/>
          </w:tcPr>
          <w:p w14:paraId="6F0C6562" w14:textId="77777777" w:rsidR="00605829" w:rsidRPr="00DC2224" w:rsidRDefault="00605829">
            <w:pPr>
              <w:pStyle w:val="Compact"/>
              <w:rPr>
                <w:color w:val="EE0000"/>
                <w:sz w:val="22"/>
                <w:szCs w:val="22"/>
              </w:rPr>
            </w:pPr>
            <w:r w:rsidRPr="00DC2224">
              <w:rPr>
                <w:i/>
                <w:color w:val="EE0000"/>
                <w:sz w:val="22"/>
                <w:szCs w:val="22"/>
              </w:rPr>
              <w:t>[Role]</w:t>
            </w:r>
          </w:p>
        </w:tc>
        <w:tc>
          <w:tcPr>
            <w:tcW w:w="1702" w:type="dxa"/>
            <w:tcBorders>
              <w:bottom w:val="single" w:sz="4" w:space="0" w:color="BFBFBF" w:themeColor="background1" w:themeShade="BF"/>
            </w:tcBorders>
            <w:shd w:val="clear" w:color="FFFFFF" w:fill="FFFFFF"/>
          </w:tcPr>
          <w:p w14:paraId="425B3257" w14:textId="77777777" w:rsidR="00605829" w:rsidRPr="00DC2224" w:rsidRDefault="00605829">
            <w:pPr>
              <w:pStyle w:val="Compact"/>
              <w:rPr>
                <w:color w:val="EE0000"/>
                <w:sz w:val="22"/>
                <w:szCs w:val="22"/>
              </w:rPr>
            </w:pPr>
            <w:r w:rsidRPr="00DC2224">
              <w:rPr>
                <w:i/>
                <w:color w:val="EE0000"/>
                <w:sz w:val="22"/>
                <w:szCs w:val="22"/>
              </w:rPr>
              <w:t>[Fallback method]</w:t>
            </w:r>
          </w:p>
        </w:tc>
      </w:tr>
      <w:tr w:rsidR="00605829" w14:paraId="47E452AD" w14:textId="77777777" w:rsidTr="0019689D">
        <w:tc>
          <w:tcPr>
            <w:tcW w:w="1597" w:type="dxa"/>
            <w:tcBorders>
              <w:bottom w:val="single" w:sz="4" w:space="0" w:color="BFBFBF" w:themeColor="background1" w:themeShade="BF"/>
            </w:tcBorders>
            <w:shd w:val="clear" w:color="FFFFFF" w:fill="FFFFFF"/>
          </w:tcPr>
          <w:p w14:paraId="0548D0C6" w14:textId="77777777" w:rsidR="00605829" w:rsidRPr="00DC2224" w:rsidRDefault="00605829">
            <w:pPr>
              <w:pStyle w:val="Compact"/>
              <w:rPr>
                <w:sz w:val="22"/>
                <w:szCs w:val="22"/>
              </w:rPr>
            </w:pPr>
            <w:r w:rsidRPr="00DC2224">
              <w:rPr>
                <w:sz w:val="22"/>
                <w:szCs w:val="22"/>
              </w:rPr>
              <w:lastRenderedPageBreak/>
              <w:t>Telehealth</w:t>
            </w:r>
          </w:p>
        </w:tc>
        <w:tc>
          <w:tcPr>
            <w:tcW w:w="2055" w:type="dxa"/>
            <w:tcBorders>
              <w:bottom w:val="single" w:sz="4" w:space="0" w:color="BFBFBF" w:themeColor="background1" w:themeShade="BF"/>
            </w:tcBorders>
            <w:shd w:val="clear" w:color="FFFFFF" w:fill="FFFFFF"/>
          </w:tcPr>
          <w:p w14:paraId="557DE97C" w14:textId="77777777" w:rsidR="00605829" w:rsidRPr="00DC2224" w:rsidRDefault="00605829">
            <w:pPr>
              <w:pStyle w:val="Compact"/>
              <w:rPr>
                <w:color w:val="EE0000"/>
                <w:sz w:val="22"/>
                <w:szCs w:val="22"/>
              </w:rPr>
            </w:pPr>
            <w:r w:rsidRPr="00DC2224">
              <w:rPr>
                <w:i/>
                <w:color w:val="EE0000"/>
                <w:sz w:val="22"/>
                <w:szCs w:val="22"/>
              </w:rPr>
              <w:t>[SMS / email / patient portal / enduring agreement / other]</w:t>
            </w:r>
          </w:p>
        </w:tc>
        <w:tc>
          <w:tcPr>
            <w:tcW w:w="2552" w:type="dxa"/>
            <w:tcBorders>
              <w:bottom w:val="single" w:sz="4" w:space="0" w:color="BFBFBF" w:themeColor="background1" w:themeShade="BF"/>
            </w:tcBorders>
            <w:shd w:val="clear" w:color="FFFFFF" w:fill="FFFFFF"/>
          </w:tcPr>
          <w:p w14:paraId="5A7324AB" w14:textId="77777777" w:rsidR="00605829" w:rsidRPr="00DC2224" w:rsidRDefault="00605829">
            <w:pPr>
              <w:pStyle w:val="Compact"/>
              <w:rPr>
                <w:color w:val="EE0000"/>
                <w:sz w:val="22"/>
                <w:szCs w:val="22"/>
              </w:rPr>
            </w:pPr>
            <w:r w:rsidRPr="00DC2224">
              <w:rPr>
                <w:i/>
                <w:color w:val="EE0000"/>
                <w:sz w:val="22"/>
                <w:szCs w:val="22"/>
              </w:rPr>
              <w:t>[Before appointment / after consultation]</w:t>
            </w:r>
          </w:p>
        </w:tc>
        <w:tc>
          <w:tcPr>
            <w:tcW w:w="1559" w:type="dxa"/>
            <w:tcBorders>
              <w:bottom w:val="single" w:sz="4" w:space="0" w:color="BFBFBF" w:themeColor="background1" w:themeShade="BF"/>
            </w:tcBorders>
            <w:shd w:val="clear" w:color="FFFFFF" w:fill="FFFFFF"/>
          </w:tcPr>
          <w:p w14:paraId="0E52A02C" w14:textId="77777777" w:rsidR="00605829" w:rsidRPr="00DC2224" w:rsidRDefault="00605829">
            <w:pPr>
              <w:pStyle w:val="Compact"/>
              <w:rPr>
                <w:color w:val="EE0000"/>
                <w:sz w:val="22"/>
                <w:szCs w:val="22"/>
              </w:rPr>
            </w:pPr>
            <w:r w:rsidRPr="00DC2224">
              <w:rPr>
                <w:i/>
                <w:color w:val="EE0000"/>
                <w:sz w:val="22"/>
                <w:szCs w:val="22"/>
              </w:rPr>
              <w:t>[Role]</w:t>
            </w:r>
          </w:p>
        </w:tc>
        <w:tc>
          <w:tcPr>
            <w:tcW w:w="1702" w:type="dxa"/>
            <w:tcBorders>
              <w:bottom w:val="single" w:sz="4" w:space="0" w:color="BFBFBF" w:themeColor="background1" w:themeShade="BF"/>
            </w:tcBorders>
            <w:shd w:val="clear" w:color="FFFFFF" w:fill="FFFFFF"/>
          </w:tcPr>
          <w:p w14:paraId="6CD52473" w14:textId="77777777" w:rsidR="00605829" w:rsidRPr="00DC2224" w:rsidRDefault="00605829">
            <w:pPr>
              <w:pStyle w:val="Compact"/>
              <w:rPr>
                <w:color w:val="EE0000"/>
                <w:sz w:val="22"/>
                <w:szCs w:val="22"/>
              </w:rPr>
            </w:pPr>
            <w:r w:rsidRPr="00DC2224">
              <w:rPr>
                <w:i/>
                <w:color w:val="EE0000"/>
                <w:sz w:val="22"/>
                <w:szCs w:val="22"/>
              </w:rPr>
              <w:t>[Fallback method]</w:t>
            </w:r>
          </w:p>
        </w:tc>
      </w:tr>
      <w:tr w:rsidR="00605829" w14:paraId="716E9395" w14:textId="77777777" w:rsidTr="0019689D">
        <w:tc>
          <w:tcPr>
            <w:tcW w:w="1597" w:type="dxa"/>
            <w:tcBorders>
              <w:bottom w:val="single" w:sz="4" w:space="0" w:color="BFBFBF" w:themeColor="background1" w:themeShade="BF"/>
            </w:tcBorders>
            <w:shd w:val="clear" w:color="FFFFFF" w:fill="FFFFFF"/>
          </w:tcPr>
          <w:p w14:paraId="1D449D47" w14:textId="77777777" w:rsidR="00605829" w:rsidRPr="00DC2224" w:rsidRDefault="00605829">
            <w:pPr>
              <w:pStyle w:val="Compact"/>
              <w:rPr>
                <w:sz w:val="22"/>
                <w:szCs w:val="22"/>
              </w:rPr>
            </w:pPr>
            <w:r w:rsidRPr="00DC2224">
              <w:rPr>
                <w:sz w:val="22"/>
                <w:szCs w:val="22"/>
              </w:rPr>
              <w:t>Home visit or outreach</w:t>
            </w:r>
          </w:p>
        </w:tc>
        <w:tc>
          <w:tcPr>
            <w:tcW w:w="2055" w:type="dxa"/>
            <w:tcBorders>
              <w:bottom w:val="single" w:sz="4" w:space="0" w:color="BFBFBF" w:themeColor="background1" w:themeShade="BF"/>
            </w:tcBorders>
            <w:shd w:val="clear" w:color="FFFFFF" w:fill="FFFFFF"/>
          </w:tcPr>
          <w:p w14:paraId="6C526BE1" w14:textId="77777777" w:rsidR="00605829" w:rsidRPr="00DC2224" w:rsidRDefault="00605829">
            <w:pPr>
              <w:pStyle w:val="Compact"/>
              <w:rPr>
                <w:color w:val="EE0000"/>
                <w:sz w:val="22"/>
                <w:szCs w:val="22"/>
              </w:rPr>
            </w:pPr>
            <w:r w:rsidRPr="00DC2224">
              <w:rPr>
                <w:i/>
                <w:color w:val="EE0000"/>
                <w:sz w:val="22"/>
                <w:szCs w:val="22"/>
              </w:rPr>
              <w:t>[Electronic / practice device / paper / other]</w:t>
            </w:r>
          </w:p>
        </w:tc>
        <w:tc>
          <w:tcPr>
            <w:tcW w:w="2552" w:type="dxa"/>
            <w:tcBorders>
              <w:bottom w:val="single" w:sz="4" w:space="0" w:color="BFBFBF" w:themeColor="background1" w:themeShade="BF"/>
            </w:tcBorders>
            <w:shd w:val="clear" w:color="FFFFFF" w:fill="FFFFFF"/>
          </w:tcPr>
          <w:p w14:paraId="310194B2" w14:textId="77777777" w:rsidR="00605829" w:rsidRPr="00DC2224" w:rsidRDefault="00605829">
            <w:pPr>
              <w:pStyle w:val="Compact"/>
              <w:rPr>
                <w:color w:val="EE0000"/>
                <w:sz w:val="22"/>
                <w:szCs w:val="22"/>
              </w:rPr>
            </w:pPr>
            <w:r w:rsidRPr="00DC2224">
              <w:rPr>
                <w:i/>
                <w:color w:val="EE0000"/>
                <w:sz w:val="22"/>
                <w:szCs w:val="22"/>
              </w:rPr>
              <w:t>[When]</w:t>
            </w:r>
          </w:p>
        </w:tc>
        <w:tc>
          <w:tcPr>
            <w:tcW w:w="1559" w:type="dxa"/>
            <w:tcBorders>
              <w:bottom w:val="single" w:sz="4" w:space="0" w:color="BFBFBF" w:themeColor="background1" w:themeShade="BF"/>
            </w:tcBorders>
            <w:shd w:val="clear" w:color="FFFFFF" w:fill="FFFFFF"/>
          </w:tcPr>
          <w:p w14:paraId="24B2312E" w14:textId="77777777" w:rsidR="00605829" w:rsidRPr="00DC2224" w:rsidRDefault="00605829">
            <w:pPr>
              <w:pStyle w:val="Compact"/>
              <w:rPr>
                <w:color w:val="EE0000"/>
                <w:sz w:val="22"/>
                <w:szCs w:val="22"/>
              </w:rPr>
            </w:pPr>
            <w:r w:rsidRPr="00DC2224">
              <w:rPr>
                <w:i/>
                <w:color w:val="EE0000"/>
                <w:sz w:val="22"/>
                <w:szCs w:val="22"/>
              </w:rPr>
              <w:t>[Role]</w:t>
            </w:r>
          </w:p>
        </w:tc>
        <w:tc>
          <w:tcPr>
            <w:tcW w:w="1702" w:type="dxa"/>
            <w:tcBorders>
              <w:bottom w:val="single" w:sz="4" w:space="0" w:color="BFBFBF" w:themeColor="background1" w:themeShade="BF"/>
            </w:tcBorders>
            <w:shd w:val="clear" w:color="FFFFFF" w:fill="FFFFFF"/>
          </w:tcPr>
          <w:p w14:paraId="49197A1D" w14:textId="77777777" w:rsidR="00605829" w:rsidRPr="00DC2224" w:rsidRDefault="00605829">
            <w:pPr>
              <w:pStyle w:val="Compact"/>
              <w:rPr>
                <w:color w:val="EE0000"/>
                <w:sz w:val="22"/>
                <w:szCs w:val="22"/>
              </w:rPr>
            </w:pPr>
            <w:r w:rsidRPr="00DC2224">
              <w:rPr>
                <w:i/>
                <w:color w:val="EE0000"/>
                <w:sz w:val="22"/>
                <w:szCs w:val="22"/>
              </w:rPr>
              <w:t>[Fallback method]</w:t>
            </w:r>
          </w:p>
        </w:tc>
      </w:tr>
      <w:tr w:rsidR="00605829" w14:paraId="20AF0B94" w14:textId="77777777" w:rsidTr="0019689D">
        <w:tc>
          <w:tcPr>
            <w:tcW w:w="1597" w:type="dxa"/>
            <w:tcBorders>
              <w:bottom w:val="single" w:sz="4" w:space="0" w:color="BFBFBF" w:themeColor="background1" w:themeShade="BF"/>
            </w:tcBorders>
            <w:shd w:val="clear" w:color="FFFFFF" w:fill="FFFFFF"/>
          </w:tcPr>
          <w:p w14:paraId="3A20AE4B" w14:textId="77777777" w:rsidR="00605829" w:rsidRPr="00DC2224" w:rsidRDefault="00605829">
            <w:pPr>
              <w:pStyle w:val="Compact"/>
              <w:rPr>
                <w:sz w:val="22"/>
                <w:szCs w:val="22"/>
              </w:rPr>
            </w:pPr>
            <w:r w:rsidRPr="00DC2224">
              <w:rPr>
                <w:sz w:val="22"/>
                <w:szCs w:val="22"/>
              </w:rPr>
              <w:t>MyMedicare enduring</w:t>
            </w:r>
          </w:p>
        </w:tc>
        <w:tc>
          <w:tcPr>
            <w:tcW w:w="2055" w:type="dxa"/>
            <w:tcBorders>
              <w:bottom w:val="single" w:sz="4" w:space="0" w:color="BFBFBF" w:themeColor="background1" w:themeShade="BF"/>
            </w:tcBorders>
            <w:shd w:val="clear" w:color="FFFFFF" w:fill="FFFFFF"/>
          </w:tcPr>
          <w:p w14:paraId="12CB5422" w14:textId="77777777" w:rsidR="00605829" w:rsidRPr="00DC2224" w:rsidRDefault="00605829">
            <w:pPr>
              <w:pStyle w:val="Compact"/>
              <w:rPr>
                <w:color w:val="EE0000"/>
                <w:sz w:val="22"/>
                <w:szCs w:val="22"/>
              </w:rPr>
            </w:pPr>
            <w:r w:rsidRPr="00DC2224">
              <w:rPr>
                <w:i/>
                <w:color w:val="EE0000"/>
                <w:sz w:val="22"/>
                <w:szCs w:val="22"/>
              </w:rPr>
              <w:t>[Method]</w:t>
            </w:r>
          </w:p>
        </w:tc>
        <w:tc>
          <w:tcPr>
            <w:tcW w:w="2552" w:type="dxa"/>
            <w:tcBorders>
              <w:bottom w:val="single" w:sz="4" w:space="0" w:color="BFBFBF" w:themeColor="background1" w:themeShade="BF"/>
            </w:tcBorders>
            <w:shd w:val="clear" w:color="FFFFFF" w:fill="FFFFFF"/>
          </w:tcPr>
          <w:p w14:paraId="1D674A83" w14:textId="77777777" w:rsidR="00605829" w:rsidRPr="00DC2224" w:rsidRDefault="00605829">
            <w:pPr>
              <w:pStyle w:val="Compact"/>
              <w:rPr>
                <w:color w:val="EE0000"/>
                <w:sz w:val="22"/>
                <w:szCs w:val="22"/>
              </w:rPr>
            </w:pPr>
            <w:r w:rsidRPr="00DC2224">
              <w:rPr>
                <w:i/>
                <w:color w:val="EE0000"/>
                <w:sz w:val="22"/>
                <w:szCs w:val="22"/>
              </w:rPr>
              <w:t>[When established]</w:t>
            </w:r>
          </w:p>
        </w:tc>
        <w:tc>
          <w:tcPr>
            <w:tcW w:w="1559" w:type="dxa"/>
            <w:tcBorders>
              <w:bottom w:val="single" w:sz="4" w:space="0" w:color="BFBFBF" w:themeColor="background1" w:themeShade="BF"/>
            </w:tcBorders>
            <w:shd w:val="clear" w:color="FFFFFF" w:fill="FFFFFF"/>
          </w:tcPr>
          <w:p w14:paraId="1EA232DF" w14:textId="77777777" w:rsidR="00605829" w:rsidRPr="00DC2224" w:rsidRDefault="00605829">
            <w:pPr>
              <w:pStyle w:val="Compact"/>
              <w:rPr>
                <w:color w:val="EE0000"/>
                <w:sz w:val="22"/>
                <w:szCs w:val="22"/>
              </w:rPr>
            </w:pPr>
            <w:r w:rsidRPr="00DC2224">
              <w:rPr>
                <w:i/>
                <w:color w:val="EE0000"/>
                <w:sz w:val="22"/>
                <w:szCs w:val="22"/>
              </w:rPr>
              <w:t>[Role]</w:t>
            </w:r>
          </w:p>
        </w:tc>
        <w:tc>
          <w:tcPr>
            <w:tcW w:w="1702" w:type="dxa"/>
            <w:tcBorders>
              <w:bottom w:val="single" w:sz="4" w:space="0" w:color="BFBFBF" w:themeColor="background1" w:themeShade="BF"/>
            </w:tcBorders>
            <w:shd w:val="clear" w:color="FFFFFF" w:fill="FFFFFF"/>
          </w:tcPr>
          <w:p w14:paraId="71212C57" w14:textId="77777777" w:rsidR="00605829" w:rsidRPr="00DC2224" w:rsidRDefault="00605829">
            <w:pPr>
              <w:pStyle w:val="Compact"/>
              <w:rPr>
                <w:color w:val="EE0000"/>
                <w:sz w:val="22"/>
                <w:szCs w:val="22"/>
              </w:rPr>
            </w:pPr>
            <w:r w:rsidRPr="00DC2224">
              <w:rPr>
                <w:i/>
                <w:color w:val="EE0000"/>
                <w:sz w:val="22"/>
                <w:szCs w:val="22"/>
              </w:rPr>
              <w:t>[Episodic assignment / other]</w:t>
            </w:r>
          </w:p>
        </w:tc>
      </w:tr>
      <w:tr w:rsidR="00605829" w14:paraId="3A8F3A34" w14:textId="77777777" w:rsidTr="0019689D">
        <w:tc>
          <w:tcPr>
            <w:tcW w:w="1597" w:type="dxa"/>
            <w:tcBorders>
              <w:bottom w:val="single" w:sz="4" w:space="0" w:color="BFBFBF" w:themeColor="background1" w:themeShade="BF"/>
            </w:tcBorders>
            <w:shd w:val="clear" w:color="FFFFFF" w:fill="FFFFFF"/>
          </w:tcPr>
          <w:p w14:paraId="765BFDE9" w14:textId="77777777" w:rsidR="00605829" w:rsidRPr="00DC2224" w:rsidRDefault="00605829">
            <w:pPr>
              <w:pStyle w:val="Compact"/>
              <w:rPr>
                <w:sz w:val="22"/>
                <w:szCs w:val="22"/>
              </w:rPr>
            </w:pPr>
            <w:r w:rsidRPr="00DC2224">
              <w:rPr>
                <w:sz w:val="22"/>
                <w:szCs w:val="22"/>
              </w:rPr>
              <w:t>Residential aged-care home enduring</w:t>
            </w:r>
          </w:p>
        </w:tc>
        <w:tc>
          <w:tcPr>
            <w:tcW w:w="2055" w:type="dxa"/>
            <w:tcBorders>
              <w:bottom w:val="single" w:sz="4" w:space="0" w:color="BFBFBF" w:themeColor="background1" w:themeShade="BF"/>
            </w:tcBorders>
            <w:shd w:val="clear" w:color="FFFFFF" w:fill="FFFFFF"/>
          </w:tcPr>
          <w:p w14:paraId="4228C8FC" w14:textId="77777777" w:rsidR="00605829" w:rsidRPr="00DC2224" w:rsidRDefault="00605829">
            <w:pPr>
              <w:pStyle w:val="Compact"/>
              <w:rPr>
                <w:color w:val="EE0000"/>
                <w:sz w:val="22"/>
                <w:szCs w:val="22"/>
              </w:rPr>
            </w:pPr>
            <w:r w:rsidRPr="00DC2224">
              <w:rPr>
                <w:i/>
                <w:color w:val="EE0000"/>
                <w:sz w:val="22"/>
                <w:szCs w:val="22"/>
              </w:rPr>
              <w:t>[Method]</w:t>
            </w:r>
          </w:p>
        </w:tc>
        <w:tc>
          <w:tcPr>
            <w:tcW w:w="2552" w:type="dxa"/>
            <w:tcBorders>
              <w:bottom w:val="single" w:sz="4" w:space="0" w:color="BFBFBF" w:themeColor="background1" w:themeShade="BF"/>
            </w:tcBorders>
            <w:shd w:val="clear" w:color="FFFFFF" w:fill="FFFFFF"/>
          </w:tcPr>
          <w:p w14:paraId="31B33068" w14:textId="77777777" w:rsidR="00605829" w:rsidRPr="00DC2224" w:rsidRDefault="00605829">
            <w:pPr>
              <w:pStyle w:val="Compact"/>
              <w:rPr>
                <w:color w:val="EE0000"/>
                <w:sz w:val="22"/>
                <w:szCs w:val="22"/>
              </w:rPr>
            </w:pPr>
            <w:r w:rsidRPr="00DC2224">
              <w:rPr>
                <w:i/>
                <w:color w:val="EE0000"/>
                <w:sz w:val="22"/>
                <w:szCs w:val="22"/>
              </w:rPr>
              <w:t>[When established]</w:t>
            </w:r>
          </w:p>
        </w:tc>
        <w:tc>
          <w:tcPr>
            <w:tcW w:w="1559" w:type="dxa"/>
            <w:tcBorders>
              <w:bottom w:val="single" w:sz="4" w:space="0" w:color="BFBFBF" w:themeColor="background1" w:themeShade="BF"/>
            </w:tcBorders>
            <w:shd w:val="clear" w:color="FFFFFF" w:fill="FFFFFF"/>
          </w:tcPr>
          <w:p w14:paraId="4254DCD9" w14:textId="77777777" w:rsidR="00605829" w:rsidRPr="00DC2224" w:rsidRDefault="00605829">
            <w:pPr>
              <w:pStyle w:val="Compact"/>
              <w:rPr>
                <w:color w:val="EE0000"/>
                <w:sz w:val="22"/>
                <w:szCs w:val="22"/>
              </w:rPr>
            </w:pPr>
            <w:r w:rsidRPr="00DC2224">
              <w:rPr>
                <w:i/>
                <w:color w:val="EE0000"/>
                <w:sz w:val="22"/>
                <w:szCs w:val="22"/>
              </w:rPr>
              <w:t>[Role]</w:t>
            </w:r>
          </w:p>
        </w:tc>
        <w:tc>
          <w:tcPr>
            <w:tcW w:w="1702" w:type="dxa"/>
            <w:tcBorders>
              <w:bottom w:val="single" w:sz="4" w:space="0" w:color="BFBFBF" w:themeColor="background1" w:themeShade="BF"/>
            </w:tcBorders>
            <w:shd w:val="clear" w:color="FFFFFF" w:fill="FFFFFF"/>
          </w:tcPr>
          <w:p w14:paraId="160435C3" w14:textId="77777777" w:rsidR="00605829" w:rsidRPr="00DC2224" w:rsidRDefault="00605829">
            <w:pPr>
              <w:pStyle w:val="Compact"/>
              <w:rPr>
                <w:color w:val="EE0000"/>
                <w:sz w:val="22"/>
                <w:szCs w:val="22"/>
              </w:rPr>
            </w:pPr>
            <w:r w:rsidRPr="00DC2224">
              <w:rPr>
                <w:i/>
                <w:color w:val="EE0000"/>
                <w:sz w:val="22"/>
                <w:szCs w:val="22"/>
              </w:rPr>
              <w:t>[Episodic assignment / other]</w:t>
            </w:r>
          </w:p>
        </w:tc>
      </w:tr>
      <w:tr w:rsidR="00605829" w14:paraId="05EA211C" w14:textId="77777777" w:rsidTr="0019689D">
        <w:tc>
          <w:tcPr>
            <w:tcW w:w="1597" w:type="dxa"/>
            <w:tcBorders>
              <w:bottom w:val="single" w:sz="4" w:space="0" w:color="BFBFBF" w:themeColor="background1" w:themeShade="BF"/>
            </w:tcBorders>
            <w:shd w:val="clear" w:color="FFFFFF" w:fill="FFFFFF"/>
          </w:tcPr>
          <w:p w14:paraId="23B8B7DB" w14:textId="77777777" w:rsidR="00605829" w:rsidRPr="00DC2224" w:rsidRDefault="00605829">
            <w:pPr>
              <w:pStyle w:val="Compact"/>
              <w:rPr>
                <w:sz w:val="22"/>
                <w:szCs w:val="22"/>
              </w:rPr>
            </w:pPr>
            <w:r w:rsidRPr="00DC2224">
              <w:rPr>
                <w:sz w:val="22"/>
                <w:szCs w:val="22"/>
              </w:rPr>
              <w:t>ACCHO or AMS enduring</w:t>
            </w:r>
          </w:p>
        </w:tc>
        <w:tc>
          <w:tcPr>
            <w:tcW w:w="2055" w:type="dxa"/>
            <w:tcBorders>
              <w:bottom w:val="single" w:sz="4" w:space="0" w:color="BFBFBF" w:themeColor="background1" w:themeShade="BF"/>
            </w:tcBorders>
            <w:shd w:val="clear" w:color="FFFFFF" w:fill="FFFFFF"/>
          </w:tcPr>
          <w:p w14:paraId="007213AB" w14:textId="77777777" w:rsidR="00605829" w:rsidRPr="00DC2224" w:rsidRDefault="00605829">
            <w:pPr>
              <w:pStyle w:val="Compact"/>
              <w:rPr>
                <w:color w:val="EE0000"/>
                <w:sz w:val="22"/>
                <w:szCs w:val="22"/>
              </w:rPr>
            </w:pPr>
            <w:r w:rsidRPr="00DC2224">
              <w:rPr>
                <w:i/>
                <w:color w:val="EE0000"/>
                <w:sz w:val="22"/>
                <w:szCs w:val="22"/>
              </w:rPr>
              <w:t>[Method]</w:t>
            </w:r>
          </w:p>
        </w:tc>
        <w:tc>
          <w:tcPr>
            <w:tcW w:w="2552" w:type="dxa"/>
            <w:tcBorders>
              <w:bottom w:val="single" w:sz="4" w:space="0" w:color="BFBFBF" w:themeColor="background1" w:themeShade="BF"/>
            </w:tcBorders>
            <w:shd w:val="clear" w:color="FFFFFF" w:fill="FFFFFF"/>
          </w:tcPr>
          <w:p w14:paraId="3369490F" w14:textId="77777777" w:rsidR="00605829" w:rsidRPr="00DC2224" w:rsidRDefault="00605829">
            <w:pPr>
              <w:pStyle w:val="Compact"/>
              <w:rPr>
                <w:color w:val="EE0000"/>
                <w:sz w:val="22"/>
                <w:szCs w:val="22"/>
              </w:rPr>
            </w:pPr>
            <w:r w:rsidRPr="00DC2224">
              <w:rPr>
                <w:i/>
                <w:color w:val="EE0000"/>
                <w:sz w:val="22"/>
                <w:szCs w:val="22"/>
              </w:rPr>
              <w:t>[When established]</w:t>
            </w:r>
          </w:p>
        </w:tc>
        <w:tc>
          <w:tcPr>
            <w:tcW w:w="1559" w:type="dxa"/>
            <w:tcBorders>
              <w:bottom w:val="single" w:sz="4" w:space="0" w:color="BFBFBF" w:themeColor="background1" w:themeShade="BF"/>
            </w:tcBorders>
            <w:shd w:val="clear" w:color="FFFFFF" w:fill="FFFFFF"/>
          </w:tcPr>
          <w:p w14:paraId="6924984B" w14:textId="77777777" w:rsidR="00605829" w:rsidRPr="00DC2224" w:rsidRDefault="00605829">
            <w:pPr>
              <w:pStyle w:val="Compact"/>
              <w:rPr>
                <w:color w:val="EE0000"/>
                <w:sz w:val="22"/>
                <w:szCs w:val="22"/>
              </w:rPr>
            </w:pPr>
            <w:r w:rsidRPr="00DC2224">
              <w:rPr>
                <w:i/>
                <w:color w:val="EE0000"/>
                <w:sz w:val="22"/>
                <w:szCs w:val="22"/>
              </w:rPr>
              <w:t>[Role]</w:t>
            </w:r>
          </w:p>
        </w:tc>
        <w:tc>
          <w:tcPr>
            <w:tcW w:w="1702" w:type="dxa"/>
            <w:tcBorders>
              <w:bottom w:val="single" w:sz="4" w:space="0" w:color="BFBFBF" w:themeColor="background1" w:themeShade="BF"/>
            </w:tcBorders>
            <w:shd w:val="clear" w:color="FFFFFF" w:fill="FFFFFF"/>
          </w:tcPr>
          <w:p w14:paraId="035F9BD6" w14:textId="77777777" w:rsidR="00605829" w:rsidRPr="00DC2224" w:rsidRDefault="00605829">
            <w:pPr>
              <w:pStyle w:val="Compact"/>
              <w:rPr>
                <w:color w:val="EE0000"/>
                <w:sz w:val="22"/>
                <w:szCs w:val="22"/>
              </w:rPr>
            </w:pPr>
            <w:r w:rsidRPr="00DC2224">
              <w:rPr>
                <w:i/>
                <w:color w:val="EE0000"/>
                <w:sz w:val="22"/>
                <w:szCs w:val="22"/>
              </w:rPr>
              <w:t>[Episodic assignment / other]</w:t>
            </w:r>
          </w:p>
        </w:tc>
      </w:tr>
      <w:tr w:rsidR="00605829" w14:paraId="09705AE6" w14:textId="77777777" w:rsidTr="0019689D">
        <w:tc>
          <w:tcPr>
            <w:tcW w:w="1597" w:type="dxa"/>
            <w:shd w:val="clear" w:color="FFFFFF" w:fill="FFFFFF"/>
          </w:tcPr>
          <w:p w14:paraId="0204E3C7" w14:textId="77777777" w:rsidR="00605829" w:rsidRPr="00DC2224" w:rsidRDefault="00605829">
            <w:pPr>
              <w:pStyle w:val="Compact"/>
              <w:rPr>
                <w:sz w:val="22"/>
                <w:szCs w:val="22"/>
              </w:rPr>
            </w:pPr>
            <w:proofErr w:type="gramStart"/>
            <w:r w:rsidRPr="00DC2224">
              <w:rPr>
                <w:sz w:val="22"/>
                <w:szCs w:val="22"/>
              </w:rPr>
              <w:t>Other</w:t>
            </w:r>
            <w:proofErr w:type="gramEnd"/>
            <w:r w:rsidRPr="00DC2224">
              <w:rPr>
                <w:sz w:val="22"/>
                <w:szCs w:val="22"/>
              </w:rPr>
              <w:t xml:space="preserve"> local workflow</w:t>
            </w:r>
          </w:p>
        </w:tc>
        <w:tc>
          <w:tcPr>
            <w:tcW w:w="2055" w:type="dxa"/>
            <w:shd w:val="clear" w:color="FFFFFF" w:fill="FFFFFF"/>
          </w:tcPr>
          <w:p w14:paraId="10A2EA0A" w14:textId="77777777" w:rsidR="00605829" w:rsidRPr="00DC2224" w:rsidRDefault="00605829">
            <w:pPr>
              <w:pStyle w:val="Compact"/>
              <w:rPr>
                <w:color w:val="EE0000"/>
                <w:sz w:val="22"/>
                <w:szCs w:val="22"/>
              </w:rPr>
            </w:pPr>
            <w:r w:rsidRPr="00DC2224">
              <w:rPr>
                <w:i/>
                <w:color w:val="EE0000"/>
                <w:sz w:val="22"/>
                <w:szCs w:val="22"/>
              </w:rPr>
              <w:t>[Method]</w:t>
            </w:r>
          </w:p>
        </w:tc>
        <w:tc>
          <w:tcPr>
            <w:tcW w:w="2552" w:type="dxa"/>
            <w:shd w:val="clear" w:color="FFFFFF" w:fill="FFFFFF"/>
          </w:tcPr>
          <w:p w14:paraId="54F94392" w14:textId="77777777" w:rsidR="00605829" w:rsidRPr="00DC2224" w:rsidRDefault="00605829">
            <w:pPr>
              <w:pStyle w:val="Compact"/>
              <w:rPr>
                <w:color w:val="EE0000"/>
                <w:sz w:val="22"/>
                <w:szCs w:val="22"/>
              </w:rPr>
            </w:pPr>
            <w:r w:rsidRPr="00DC2224">
              <w:rPr>
                <w:i/>
                <w:color w:val="EE0000"/>
                <w:sz w:val="22"/>
                <w:szCs w:val="22"/>
              </w:rPr>
              <w:t>[When]</w:t>
            </w:r>
          </w:p>
        </w:tc>
        <w:tc>
          <w:tcPr>
            <w:tcW w:w="1559" w:type="dxa"/>
            <w:shd w:val="clear" w:color="FFFFFF" w:fill="FFFFFF"/>
          </w:tcPr>
          <w:p w14:paraId="79A222E2" w14:textId="77777777" w:rsidR="00605829" w:rsidRPr="00DC2224" w:rsidRDefault="00605829">
            <w:pPr>
              <w:pStyle w:val="Compact"/>
              <w:rPr>
                <w:color w:val="EE0000"/>
                <w:sz w:val="22"/>
                <w:szCs w:val="22"/>
              </w:rPr>
            </w:pPr>
            <w:r w:rsidRPr="00DC2224">
              <w:rPr>
                <w:i/>
                <w:color w:val="EE0000"/>
                <w:sz w:val="22"/>
                <w:szCs w:val="22"/>
              </w:rPr>
              <w:t>[Role]</w:t>
            </w:r>
          </w:p>
        </w:tc>
        <w:tc>
          <w:tcPr>
            <w:tcW w:w="1702" w:type="dxa"/>
            <w:shd w:val="clear" w:color="FFFFFF" w:fill="FFFFFF"/>
          </w:tcPr>
          <w:p w14:paraId="019698CB" w14:textId="77777777" w:rsidR="00605829" w:rsidRPr="00DC2224" w:rsidRDefault="00605829">
            <w:pPr>
              <w:pStyle w:val="Compact"/>
              <w:rPr>
                <w:color w:val="EE0000"/>
                <w:sz w:val="22"/>
                <w:szCs w:val="22"/>
              </w:rPr>
            </w:pPr>
            <w:r w:rsidRPr="00DC2224">
              <w:rPr>
                <w:i/>
                <w:color w:val="EE0000"/>
                <w:sz w:val="22"/>
                <w:szCs w:val="22"/>
              </w:rPr>
              <w:t>[Fallback method]</w:t>
            </w:r>
          </w:p>
        </w:tc>
      </w:tr>
    </w:tbl>
    <w:p w14:paraId="7CD30DC2" w14:textId="06CA4E1E" w:rsidR="007426A4" w:rsidRDefault="00840151" w:rsidP="00DC2224">
      <w:pPr>
        <w:pStyle w:val="Heading2"/>
        <w:numPr>
          <w:ilvl w:val="0"/>
          <w:numId w:val="17"/>
        </w:numPr>
      </w:pPr>
      <w:bookmarkStart w:id="7" w:name="available-fallback-methods"/>
      <w:bookmarkEnd w:id="6"/>
      <w:r>
        <w:t>Fallback Workflow</w:t>
      </w:r>
    </w:p>
    <w:p w14:paraId="2DE9BFA2" w14:textId="77777777" w:rsidR="001A42D4" w:rsidRPr="001A42D4" w:rsidRDefault="001A42D4" w:rsidP="00DC2224">
      <w:pPr>
        <w:pStyle w:val="BlockText"/>
        <w:numPr>
          <w:ilvl w:val="0"/>
          <w:numId w:val="13"/>
        </w:numPr>
        <w:ind w:right="0"/>
        <w:rPr>
          <w:i/>
          <w:iCs/>
          <w:kern w:val="2"/>
          <w:szCs w:val="22"/>
          <w:lang w:val="en-AU" w:eastAsia="zh-CN" w:bidi="th-TH"/>
        </w:rPr>
      </w:pPr>
      <w:r w:rsidRPr="001A42D4">
        <w:rPr>
          <w:i/>
          <w:iCs/>
        </w:rPr>
        <w:t>Keep only fallback methods available to the practice. Add any other approved local methods.</w:t>
      </w:r>
    </w:p>
    <w:p w14:paraId="0D64A4A0" w14:textId="77777777" w:rsidR="00AA4B8B" w:rsidRPr="00AA4B8B" w:rsidRDefault="001A42D4" w:rsidP="00DC2224">
      <w:pPr>
        <w:pStyle w:val="BlockText"/>
        <w:numPr>
          <w:ilvl w:val="0"/>
          <w:numId w:val="13"/>
        </w:numPr>
        <w:ind w:right="0"/>
        <w:rPr>
          <w:i/>
          <w:iCs/>
          <w:kern w:val="2"/>
          <w:szCs w:val="22"/>
          <w:lang w:val="en-AU" w:eastAsia="zh-CN" w:bidi="th-TH"/>
        </w:rPr>
      </w:pPr>
      <w:r w:rsidRPr="001A42D4">
        <w:rPr>
          <w:i/>
          <w:iCs/>
        </w:rPr>
        <w:t>Check that fallback options work for patients without a mobile phone, patients who cannot use an SMS link, patients with limited digital literacy, patients needing an accessible method and patients receiving care away from the practice.</w:t>
      </w:r>
    </w:p>
    <w:p w14:paraId="19A75B4E" w14:textId="77777777" w:rsidR="00AA4B8B" w:rsidRPr="00AA4B8B" w:rsidRDefault="00AA4B8B" w:rsidP="00AA4B8B">
      <w:pPr>
        <w:pStyle w:val="BodyText"/>
        <w:rPr>
          <w:lang w:val="en-AU" w:eastAsia="zh-CN" w:bidi="th-TH"/>
        </w:rPr>
      </w:pPr>
    </w:p>
    <w:tbl>
      <w:tblPr>
        <w:tblStyle w:val="TableGrid"/>
        <w:tblW w:w="5217" w:type="pct"/>
        <w:tblLayout w:type="fixed"/>
        <w:tblLook w:val="0020" w:firstRow="1" w:lastRow="0" w:firstColumn="0" w:lastColumn="0" w:noHBand="0" w:noVBand="0"/>
      </w:tblPr>
      <w:tblGrid>
        <w:gridCol w:w="2948"/>
        <w:gridCol w:w="7061"/>
      </w:tblGrid>
      <w:tr w:rsidR="007426A4" w14:paraId="620D7F4A" w14:textId="77777777" w:rsidTr="00DC2224">
        <w:trPr>
          <w:trHeight w:val="301"/>
        </w:trPr>
        <w:tc>
          <w:tcPr>
            <w:tcW w:w="2948" w:type="dxa"/>
            <w:tcBorders>
              <w:bottom w:val="single" w:sz="4" w:space="0" w:color="auto"/>
            </w:tcBorders>
            <w:shd w:val="clear" w:color="FFFFFF" w:fill="FFFFFF"/>
          </w:tcPr>
          <w:p w14:paraId="47C3BA98" w14:textId="77777777" w:rsidR="007426A4" w:rsidRPr="001A42D4" w:rsidRDefault="00773698">
            <w:pPr>
              <w:pStyle w:val="Compact"/>
              <w:rPr>
                <w:b/>
                <w:bCs/>
              </w:rPr>
            </w:pPr>
            <w:r w:rsidRPr="001A42D4">
              <w:rPr>
                <w:b/>
                <w:bCs/>
              </w:rPr>
              <w:t>Fallback method</w:t>
            </w:r>
          </w:p>
        </w:tc>
        <w:tc>
          <w:tcPr>
            <w:tcW w:w="7061" w:type="dxa"/>
            <w:tcBorders>
              <w:bottom w:val="single" w:sz="4" w:space="0" w:color="auto"/>
            </w:tcBorders>
            <w:shd w:val="clear" w:color="FFFFFF" w:fill="FFFFFF"/>
          </w:tcPr>
          <w:p w14:paraId="3ADA4172" w14:textId="77777777" w:rsidR="007426A4" w:rsidRPr="001A42D4" w:rsidRDefault="00773698">
            <w:pPr>
              <w:pStyle w:val="Compact"/>
              <w:rPr>
                <w:b/>
                <w:bCs/>
              </w:rPr>
            </w:pPr>
            <w:r w:rsidRPr="001A42D4">
              <w:rPr>
                <w:b/>
                <w:bCs/>
              </w:rPr>
              <w:t>Local process</w:t>
            </w:r>
          </w:p>
        </w:tc>
      </w:tr>
      <w:tr w:rsidR="007426A4" w14:paraId="41048DCB" w14:textId="77777777" w:rsidTr="00DC2224">
        <w:trPr>
          <w:trHeight w:val="531"/>
        </w:trPr>
        <w:tc>
          <w:tcPr>
            <w:tcW w:w="2948" w:type="dxa"/>
            <w:tcBorders>
              <w:bottom w:val="single" w:sz="4" w:space="0" w:color="auto"/>
            </w:tcBorders>
            <w:shd w:val="clear" w:color="FFFFFF" w:fill="FFFFFF"/>
          </w:tcPr>
          <w:p w14:paraId="3AD921A9" w14:textId="77777777" w:rsidR="007426A4" w:rsidRDefault="00773698">
            <w:pPr>
              <w:pStyle w:val="Compact"/>
            </w:pPr>
            <w:r>
              <w:t>Practice device</w:t>
            </w:r>
          </w:p>
        </w:tc>
        <w:tc>
          <w:tcPr>
            <w:tcW w:w="7061" w:type="dxa"/>
            <w:tcBorders>
              <w:bottom w:val="single" w:sz="4" w:space="0" w:color="auto"/>
            </w:tcBorders>
            <w:shd w:val="clear" w:color="FFFFFF" w:fill="FFFFFF"/>
          </w:tcPr>
          <w:p w14:paraId="36ED19D3" w14:textId="77777777" w:rsidR="007426A4" w:rsidRDefault="00773698">
            <w:pPr>
              <w:pStyle w:val="Compact"/>
            </w:pPr>
            <w:r>
              <w:t xml:space="preserve">The patient completes the agreement using </w:t>
            </w:r>
            <w:r w:rsidRPr="00C82BC0">
              <w:rPr>
                <w:i/>
                <w:color w:val="EE0000"/>
                <w:shd w:val="clear" w:color="auto" w:fill="FFFFFF"/>
              </w:rPr>
              <w:t>[tablet / kiosk / reception device]</w:t>
            </w:r>
            <w:r w:rsidRPr="00A46FA9">
              <w:rPr>
                <w:color w:val="EE0000"/>
              </w:rPr>
              <w:t>.</w:t>
            </w:r>
          </w:p>
        </w:tc>
      </w:tr>
      <w:tr w:rsidR="007426A4" w14:paraId="3DD9AFDF" w14:textId="77777777" w:rsidTr="00DC2224">
        <w:trPr>
          <w:trHeight w:val="373"/>
        </w:trPr>
        <w:tc>
          <w:tcPr>
            <w:tcW w:w="2948" w:type="dxa"/>
            <w:tcBorders>
              <w:bottom w:val="single" w:sz="4" w:space="0" w:color="auto"/>
            </w:tcBorders>
            <w:shd w:val="clear" w:color="FFFFFF" w:fill="FFFFFF"/>
          </w:tcPr>
          <w:p w14:paraId="66C06BED" w14:textId="77777777" w:rsidR="007426A4" w:rsidRDefault="00773698">
            <w:pPr>
              <w:pStyle w:val="Compact"/>
            </w:pPr>
            <w:r>
              <w:t>Paper agreement</w:t>
            </w:r>
          </w:p>
        </w:tc>
        <w:tc>
          <w:tcPr>
            <w:tcW w:w="7061" w:type="dxa"/>
            <w:tcBorders>
              <w:bottom w:val="single" w:sz="4" w:space="0" w:color="auto"/>
            </w:tcBorders>
            <w:shd w:val="clear" w:color="FFFFFF" w:fill="FFFFFF"/>
          </w:tcPr>
          <w:p w14:paraId="7EF9525D" w14:textId="481BC471" w:rsidR="007426A4" w:rsidRDefault="00B763B3">
            <w:pPr>
              <w:pStyle w:val="Compact"/>
            </w:pPr>
            <w:r w:rsidRPr="00B763B3">
              <w:t xml:space="preserve">Staff provide a paper agreement for the assignor to sign. </w:t>
            </w:r>
          </w:p>
        </w:tc>
      </w:tr>
      <w:tr w:rsidR="007426A4" w14:paraId="0F043A2C" w14:textId="77777777" w:rsidTr="00DC2224">
        <w:trPr>
          <w:trHeight w:val="531"/>
        </w:trPr>
        <w:tc>
          <w:tcPr>
            <w:tcW w:w="2948" w:type="dxa"/>
            <w:tcBorders>
              <w:bottom w:val="single" w:sz="4" w:space="0" w:color="auto"/>
            </w:tcBorders>
            <w:shd w:val="clear" w:color="FFFFFF" w:fill="FFFFFF"/>
          </w:tcPr>
          <w:p w14:paraId="633CE20A" w14:textId="77777777" w:rsidR="007426A4" w:rsidRDefault="00773698">
            <w:pPr>
              <w:pStyle w:val="Compact"/>
            </w:pPr>
            <w:proofErr w:type="spellStart"/>
            <w:r>
              <w:t>Easyclaim</w:t>
            </w:r>
            <w:proofErr w:type="spellEnd"/>
            <w:r>
              <w:t xml:space="preserve"> or claiming terminal</w:t>
            </w:r>
          </w:p>
        </w:tc>
        <w:tc>
          <w:tcPr>
            <w:tcW w:w="7061" w:type="dxa"/>
            <w:tcBorders>
              <w:bottom w:val="single" w:sz="4" w:space="0" w:color="auto"/>
            </w:tcBorders>
            <w:shd w:val="clear" w:color="FFFFFF" w:fill="FFFFFF"/>
          </w:tcPr>
          <w:p w14:paraId="31B88648" w14:textId="77777777" w:rsidR="007426A4" w:rsidRDefault="00773698">
            <w:pPr>
              <w:pStyle w:val="Compact"/>
            </w:pPr>
            <w:r>
              <w:t xml:space="preserve">The patient completes the assignment using </w:t>
            </w:r>
            <w:r w:rsidRPr="00C82BC0">
              <w:rPr>
                <w:i/>
                <w:color w:val="EE0000"/>
                <w:shd w:val="clear" w:color="auto" w:fill="FFFFFF"/>
              </w:rPr>
              <w:t>[system or terminal]</w:t>
            </w:r>
            <w:r w:rsidRPr="00A46FA9">
              <w:rPr>
                <w:color w:val="EE0000"/>
              </w:rPr>
              <w:t>.</w:t>
            </w:r>
          </w:p>
        </w:tc>
      </w:tr>
      <w:tr w:rsidR="007426A4" w14:paraId="71B36D19" w14:textId="77777777" w:rsidTr="00DC2224">
        <w:trPr>
          <w:trHeight w:val="539"/>
        </w:trPr>
        <w:tc>
          <w:tcPr>
            <w:tcW w:w="2948" w:type="dxa"/>
            <w:tcBorders>
              <w:bottom w:val="single" w:sz="4" w:space="0" w:color="auto"/>
            </w:tcBorders>
            <w:shd w:val="clear" w:color="FFFFFF" w:fill="FFFFFF"/>
          </w:tcPr>
          <w:p w14:paraId="30385E6F" w14:textId="77777777" w:rsidR="007426A4" w:rsidRDefault="00773698">
            <w:pPr>
              <w:pStyle w:val="Compact"/>
            </w:pPr>
            <w:r>
              <w:t>Assisted digital process</w:t>
            </w:r>
          </w:p>
        </w:tc>
        <w:tc>
          <w:tcPr>
            <w:tcW w:w="7061" w:type="dxa"/>
            <w:tcBorders>
              <w:bottom w:val="single" w:sz="4" w:space="0" w:color="auto"/>
            </w:tcBorders>
            <w:shd w:val="clear" w:color="FFFFFF" w:fill="FFFFFF"/>
          </w:tcPr>
          <w:p w14:paraId="7D8BA7DB" w14:textId="77777777" w:rsidR="007426A4" w:rsidRDefault="00773698">
            <w:pPr>
              <w:pStyle w:val="Compact"/>
            </w:pPr>
            <w:r>
              <w:t xml:space="preserve">Staff assist the patient to use </w:t>
            </w:r>
            <w:r w:rsidRPr="00C82BC0">
              <w:rPr>
                <w:i/>
                <w:color w:val="EE0000"/>
                <w:shd w:val="clear" w:color="auto" w:fill="FFFFFF"/>
              </w:rPr>
              <w:t>[method]</w:t>
            </w:r>
            <w:r>
              <w:t xml:space="preserve"> without accepting the agreement on the patient’s behalf.</w:t>
            </w:r>
          </w:p>
        </w:tc>
      </w:tr>
      <w:tr w:rsidR="007426A4" w14:paraId="6C223CAE" w14:textId="77777777" w:rsidTr="00DC2224">
        <w:trPr>
          <w:trHeight w:val="531"/>
        </w:trPr>
        <w:tc>
          <w:tcPr>
            <w:tcW w:w="2948" w:type="dxa"/>
            <w:tcBorders>
              <w:bottom w:val="single" w:sz="4" w:space="0" w:color="auto"/>
            </w:tcBorders>
            <w:shd w:val="clear" w:color="FFFFFF" w:fill="FFFFFF"/>
          </w:tcPr>
          <w:p w14:paraId="0B6D51B2" w14:textId="77777777" w:rsidR="007426A4" w:rsidRDefault="00773698">
            <w:pPr>
              <w:pStyle w:val="Compact"/>
            </w:pPr>
            <w:r>
              <w:t>Alternative electronic method</w:t>
            </w:r>
          </w:p>
        </w:tc>
        <w:tc>
          <w:tcPr>
            <w:tcW w:w="7061" w:type="dxa"/>
            <w:tcBorders>
              <w:bottom w:val="single" w:sz="4" w:space="0" w:color="auto"/>
            </w:tcBorders>
            <w:shd w:val="clear" w:color="FFFFFF" w:fill="FFFFFF"/>
          </w:tcPr>
          <w:p w14:paraId="7BE3C5A5" w14:textId="3A20B5DD" w:rsidR="007426A4" w:rsidRDefault="00153A7E">
            <w:pPr>
              <w:pStyle w:val="Compact"/>
            </w:pPr>
            <w:r w:rsidRPr="00153A7E">
              <w:t xml:space="preserve">The agreement is sent and accepted using </w:t>
            </w:r>
            <w:r w:rsidRPr="00153A7E">
              <w:rPr>
                <w:i/>
                <w:iCs/>
                <w:color w:val="EE0000"/>
              </w:rPr>
              <w:t xml:space="preserve">[email response / patient portal / other electronic process] </w:t>
            </w:r>
            <w:r w:rsidRPr="00153A7E">
              <w:t>instead of the normal method.</w:t>
            </w:r>
          </w:p>
        </w:tc>
      </w:tr>
      <w:tr w:rsidR="007426A4" w14:paraId="4913D7EA" w14:textId="77777777" w:rsidTr="00DC2224">
        <w:trPr>
          <w:trHeight w:val="768"/>
        </w:trPr>
        <w:tc>
          <w:tcPr>
            <w:tcW w:w="2948" w:type="dxa"/>
            <w:tcBorders>
              <w:bottom w:val="single" w:sz="4" w:space="0" w:color="auto"/>
            </w:tcBorders>
            <w:shd w:val="clear" w:color="FFFFFF" w:fill="FFFFFF"/>
          </w:tcPr>
          <w:p w14:paraId="787ED538" w14:textId="77777777" w:rsidR="007426A4" w:rsidRDefault="00773698">
            <w:pPr>
              <w:pStyle w:val="Compact"/>
            </w:pPr>
            <w:r>
              <w:t>Episodic assignment</w:t>
            </w:r>
          </w:p>
        </w:tc>
        <w:tc>
          <w:tcPr>
            <w:tcW w:w="7061" w:type="dxa"/>
            <w:tcBorders>
              <w:bottom w:val="single" w:sz="4" w:space="0" w:color="auto"/>
            </w:tcBorders>
            <w:shd w:val="clear" w:color="FFFFFF" w:fill="FFFFFF"/>
          </w:tcPr>
          <w:p w14:paraId="34C6C8D8" w14:textId="77777777" w:rsidR="007426A4" w:rsidRDefault="00773698">
            <w:pPr>
              <w:pStyle w:val="Compact"/>
            </w:pPr>
            <w:r>
              <w:t xml:space="preserve">Where an enduring agreement does not apply, staff use </w:t>
            </w:r>
            <w:r w:rsidRPr="00C82BC0">
              <w:rPr>
                <w:i/>
                <w:color w:val="EE0000"/>
                <w:shd w:val="clear" w:color="auto" w:fill="FFFFFF"/>
              </w:rPr>
              <w:t>[pre-service / post-service]</w:t>
            </w:r>
            <w:r>
              <w:t xml:space="preserve"> episodic assignment.</w:t>
            </w:r>
          </w:p>
        </w:tc>
      </w:tr>
      <w:tr w:rsidR="007426A4" w14:paraId="6E883E6E" w14:textId="77777777" w:rsidTr="00DC2224">
        <w:trPr>
          <w:trHeight w:val="768"/>
        </w:trPr>
        <w:tc>
          <w:tcPr>
            <w:tcW w:w="2948" w:type="dxa"/>
            <w:tcBorders>
              <w:bottom w:val="single" w:sz="4" w:space="0" w:color="auto"/>
            </w:tcBorders>
            <w:shd w:val="clear" w:color="FFFFFF" w:fill="FFFFFF"/>
          </w:tcPr>
          <w:p w14:paraId="194F16DC" w14:textId="77777777" w:rsidR="007426A4" w:rsidRDefault="00773698">
            <w:pPr>
              <w:pStyle w:val="Compact"/>
            </w:pPr>
            <w:r>
              <w:t>Transitional verbal process</w:t>
            </w:r>
          </w:p>
        </w:tc>
        <w:tc>
          <w:tcPr>
            <w:tcW w:w="7061" w:type="dxa"/>
            <w:tcBorders>
              <w:bottom w:val="single" w:sz="4" w:space="0" w:color="auto"/>
            </w:tcBorders>
            <w:shd w:val="clear" w:color="FFFFFF" w:fill="FFFFFF"/>
          </w:tcPr>
          <w:p w14:paraId="0A2CAA27" w14:textId="77777777" w:rsidR="007426A4" w:rsidRDefault="00773698">
            <w:pPr>
              <w:pStyle w:val="Compact"/>
            </w:pPr>
            <w:r>
              <w:t xml:space="preserve">Staff follow </w:t>
            </w:r>
            <w:r w:rsidRPr="00C82BC0">
              <w:rPr>
                <w:i/>
                <w:color w:val="EE0000"/>
                <w:shd w:val="clear" w:color="auto" w:fill="FFFFFF"/>
              </w:rPr>
              <w:t>[local verbal assignment process]</w:t>
            </w:r>
            <w:r>
              <w:t xml:space="preserve"> where this is permitted under current requirements.</w:t>
            </w:r>
          </w:p>
        </w:tc>
      </w:tr>
      <w:tr w:rsidR="007426A4" w14:paraId="18FDEE9C" w14:textId="77777777" w:rsidTr="00DC2224">
        <w:trPr>
          <w:trHeight w:val="539"/>
        </w:trPr>
        <w:tc>
          <w:tcPr>
            <w:tcW w:w="2948" w:type="dxa"/>
            <w:tcBorders>
              <w:bottom w:val="single" w:sz="4" w:space="0" w:color="auto"/>
            </w:tcBorders>
            <w:shd w:val="clear" w:color="FFFFFF" w:fill="FFFFFF"/>
          </w:tcPr>
          <w:p w14:paraId="7BCFFEDD" w14:textId="6C929067" w:rsidR="007426A4" w:rsidRDefault="00773698">
            <w:pPr>
              <w:pStyle w:val="Compact"/>
            </w:pPr>
            <w:r>
              <w:t>Hold claim</w:t>
            </w:r>
          </w:p>
        </w:tc>
        <w:tc>
          <w:tcPr>
            <w:tcW w:w="7061" w:type="dxa"/>
            <w:tcBorders>
              <w:bottom w:val="single" w:sz="4" w:space="0" w:color="auto"/>
            </w:tcBorders>
            <w:shd w:val="clear" w:color="FFFFFF" w:fill="FFFFFF"/>
          </w:tcPr>
          <w:p w14:paraId="75715CB1" w14:textId="77777777" w:rsidR="007426A4" w:rsidRDefault="00773698">
            <w:pPr>
              <w:pStyle w:val="Compact"/>
            </w:pPr>
            <w:r>
              <w:t xml:space="preserve">The claim is placed in </w:t>
            </w:r>
            <w:r w:rsidRPr="00C82BC0">
              <w:rPr>
                <w:i/>
                <w:color w:val="EE0000"/>
                <w:shd w:val="clear" w:color="auto" w:fill="FFFFFF"/>
              </w:rPr>
              <w:t>[work queue or register]</w:t>
            </w:r>
            <w:r>
              <w:t xml:space="preserve"> and referred to </w:t>
            </w:r>
            <w:r w:rsidRPr="00C82BC0">
              <w:rPr>
                <w:i/>
                <w:color w:val="EE0000"/>
                <w:shd w:val="clear" w:color="auto" w:fill="FFFFFF"/>
              </w:rPr>
              <w:t>[role]</w:t>
            </w:r>
            <w:r w:rsidRPr="00C82BC0">
              <w:rPr>
                <w:i/>
                <w:color w:val="EE0000"/>
              </w:rPr>
              <w:t>.</w:t>
            </w:r>
          </w:p>
        </w:tc>
      </w:tr>
      <w:tr w:rsidR="007426A4" w14:paraId="67B0DF77" w14:textId="77777777" w:rsidTr="00DC2224">
        <w:trPr>
          <w:trHeight w:val="293"/>
        </w:trPr>
        <w:tc>
          <w:tcPr>
            <w:tcW w:w="2948" w:type="dxa"/>
            <w:shd w:val="clear" w:color="FFFFFF" w:fill="FFFFFF"/>
          </w:tcPr>
          <w:p w14:paraId="60B79755" w14:textId="77777777" w:rsidR="007426A4" w:rsidRDefault="00773698">
            <w:pPr>
              <w:pStyle w:val="Compact"/>
            </w:pPr>
            <w:proofErr w:type="gramStart"/>
            <w:r>
              <w:t>Other</w:t>
            </w:r>
            <w:proofErr w:type="gramEnd"/>
            <w:r>
              <w:t xml:space="preserve"> fallback</w:t>
            </w:r>
          </w:p>
        </w:tc>
        <w:tc>
          <w:tcPr>
            <w:tcW w:w="7061" w:type="dxa"/>
            <w:shd w:val="clear" w:color="FFFFFF" w:fill="FFFFFF"/>
          </w:tcPr>
          <w:p w14:paraId="7E358EB6" w14:textId="77777777" w:rsidR="007426A4" w:rsidRPr="00A46FA9" w:rsidRDefault="00773698">
            <w:pPr>
              <w:pStyle w:val="Compact"/>
              <w:rPr>
                <w:color w:val="EE0000"/>
              </w:rPr>
            </w:pPr>
            <w:r w:rsidRPr="00C82BC0">
              <w:rPr>
                <w:i/>
                <w:color w:val="EE0000"/>
              </w:rPr>
              <w:t>[Describe the method.]</w:t>
            </w:r>
          </w:p>
        </w:tc>
      </w:tr>
    </w:tbl>
    <w:p w14:paraId="56B56AC3" w14:textId="5C1DC669" w:rsidR="00012931" w:rsidRPr="00012931" w:rsidRDefault="00E76E57" w:rsidP="00012931">
      <w:bookmarkStart w:id="8" w:name="before-submitting-a-claim"/>
      <w:bookmarkEnd w:id="7"/>
      <w:r>
        <w:br/>
      </w:r>
      <w:r w:rsidR="00012931" w:rsidRPr="00012931">
        <w:t xml:space="preserve">Where MyMedicare enduring assignment is used, </w:t>
      </w:r>
      <w:r w:rsidR="00012931" w:rsidRPr="00012931">
        <w:rPr>
          <w:i/>
          <w:iCs/>
          <w:color w:val="EE0000"/>
        </w:rPr>
        <w:t>[role or system]</w:t>
      </w:r>
      <w:r w:rsidR="00012931" w:rsidRPr="00012931">
        <w:t xml:space="preserve"> sends the assignor written notification </w:t>
      </w:r>
      <w:r w:rsidR="00012931" w:rsidRPr="00012931">
        <w:lastRenderedPageBreak/>
        <w:t xml:space="preserve">within 24 hours of each claim using the agreed method. Evidence of the notification is retained in </w:t>
      </w:r>
      <w:r w:rsidR="00012931" w:rsidRPr="00012931">
        <w:rPr>
          <w:i/>
          <w:iCs/>
          <w:color w:val="EE0000"/>
        </w:rPr>
        <w:t>[location].</w:t>
      </w:r>
    </w:p>
    <w:p w14:paraId="6D4CD157" w14:textId="08CD920F" w:rsidR="007426A4" w:rsidRDefault="00773698" w:rsidP="00375EC1">
      <w:pPr>
        <w:pStyle w:val="Heading2"/>
        <w:numPr>
          <w:ilvl w:val="0"/>
          <w:numId w:val="17"/>
        </w:numPr>
      </w:pPr>
      <w:r>
        <w:t>Before submitting a claim</w:t>
      </w:r>
    </w:p>
    <w:p w14:paraId="1D26C795" w14:textId="305BB37E" w:rsidR="00506F11" w:rsidRDefault="001A42D4" w:rsidP="00DC2224">
      <w:pPr>
        <w:pStyle w:val="BlockText"/>
        <w:ind w:left="0"/>
        <w:rPr>
          <w:rFonts w:ascii="Segoe UI" w:eastAsia="Times New Roman" w:hAnsi="Segoe UI" w:cs="Segoe UI"/>
          <w:sz w:val="21"/>
          <w:szCs w:val="21"/>
          <w:lang w:val="en-AU" w:eastAsia="zh-CN" w:bidi="th-TH"/>
        </w:rPr>
      </w:pPr>
      <w:r w:rsidRPr="00A846FB">
        <w:rPr>
          <w:i/>
          <w:iCs/>
        </w:rPr>
        <w:t>Confirm</w:t>
      </w:r>
      <w:r w:rsidR="00C43500">
        <w:rPr>
          <w:i/>
          <w:iCs/>
        </w:rPr>
        <w:t xml:space="preserve"> how the practice detects changes to </w:t>
      </w:r>
      <w:r w:rsidR="003D0CC3">
        <w:rPr>
          <w:i/>
          <w:iCs/>
        </w:rPr>
        <w:t xml:space="preserve">the </w:t>
      </w:r>
      <w:r w:rsidR="00C43500">
        <w:rPr>
          <w:i/>
          <w:iCs/>
        </w:rPr>
        <w:t>practitioner, date or service</w:t>
      </w:r>
      <w:r w:rsidR="00506F11">
        <w:rPr>
          <w:rFonts w:ascii="Segoe UI" w:eastAsia="Times New Roman" w:hAnsi="Segoe UI" w:cs="Segoe UI"/>
          <w:sz w:val="21"/>
          <w:szCs w:val="21"/>
          <w:lang w:val="en-AU" w:eastAsia="zh-CN" w:bidi="th-TH"/>
        </w:rPr>
        <w:t>.</w:t>
      </w:r>
    </w:p>
    <w:p w14:paraId="671DA6A4" w14:textId="77777777" w:rsidR="00AF53C0" w:rsidRPr="00AF53C0" w:rsidRDefault="00AF53C0" w:rsidP="00DC2224">
      <w:pPr>
        <w:pStyle w:val="BlockText"/>
        <w:ind w:left="0"/>
        <w:rPr>
          <w:i/>
          <w:iCs/>
          <w:lang w:val="en-AU"/>
        </w:rPr>
      </w:pPr>
      <w:r w:rsidRPr="00AF53C0">
        <w:rPr>
          <w:i/>
          <w:iCs/>
          <w:lang w:val="en-AU"/>
        </w:rPr>
        <w:t xml:space="preserve">For manual or practice-designed agreements, confirm that all information required under section 65C or 65CB of the </w:t>
      </w:r>
      <w:hyperlink r:id="rId7" w:tgtFrame="_blank" w:history="1">
        <w:r w:rsidRPr="00AF53C0">
          <w:rPr>
            <w:rStyle w:val="Hyperlink"/>
            <w:iCs/>
            <w:lang w:val="en-AU"/>
          </w:rPr>
          <w:t>Health Insurance Regulations 2018</w:t>
        </w:r>
      </w:hyperlink>
      <w:r w:rsidRPr="00AF53C0">
        <w:rPr>
          <w:i/>
          <w:iCs/>
          <w:lang w:val="en-AU"/>
        </w:rPr>
        <w:t>, as applicable, is recorded.</w:t>
      </w:r>
    </w:p>
    <w:p w14:paraId="778EDC4F" w14:textId="77777777" w:rsidR="00AF53C0" w:rsidRPr="00AF53C0" w:rsidRDefault="00AF53C0" w:rsidP="00DC2224">
      <w:pPr>
        <w:pStyle w:val="BlockText"/>
        <w:ind w:left="0"/>
        <w:rPr>
          <w:i/>
          <w:iCs/>
          <w:lang w:val="en-AU"/>
        </w:rPr>
      </w:pPr>
      <w:r w:rsidRPr="00AF53C0">
        <w:rPr>
          <w:i/>
          <w:iCs/>
          <w:lang w:val="en-AU"/>
        </w:rPr>
        <w:t>At a minimum:</w:t>
      </w:r>
    </w:p>
    <w:p w14:paraId="3EA6B0C5" w14:textId="77777777" w:rsidR="00AF53C0" w:rsidRPr="00AF53C0" w:rsidRDefault="00AF53C0" w:rsidP="00DC2224">
      <w:pPr>
        <w:pStyle w:val="BlockText"/>
        <w:numPr>
          <w:ilvl w:val="0"/>
          <w:numId w:val="24"/>
        </w:numPr>
        <w:tabs>
          <w:tab w:val="num" w:pos="240"/>
        </w:tabs>
        <w:ind w:left="360"/>
        <w:rPr>
          <w:i/>
          <w:iCs/>
          <w:lang w:val="en-AU"/>
        </w:rPr>
      </w:pPr>
      <w:r w:rsidRPr="00AF53C0">
        <w:rPr>
          <w:i/>
          <w:iCs/>
          <w:lang w:val="en-AU"/>
        </w:rPr>
        <w:t>For episodic agreements, include the required patient, assignor, practitioner, service, date and acceptance information.</w:t>
      </w:r>
    </w:p>
    <w:p w14:paraId="1BD848F7" w14:textId="77777777" w:rsidR="00AF53C0" w:rsidRPr="00AF53C0" w:rsidRDefault="00AF53C0" w:rsidP="00DC2224">
      <w:pPr>
        <w:pStyle w:val="BlockText"/>
        <w:numPr>
          <w:ilvl w:val="0"/>
          <w:numId w:val="24"/>
        </w:numPr>
        <w:tabs>
          <w:tab w:val="num" w:pos="240"/>
        </w:tabs>
        <w:ind w:left="360"/>
        <w:rPr>
          <w:i/>
          <w:iCs/>
          <w:lang w:val="en-AU"/>
        </w:rPr>
      </w:pPr>
      <w:r w:rsidRPr="00AF53C0">
        <w:rPr>
          <w:i/>
          <w:iCs/>
          <w:lang w:val="en-AU"/>
        </w:rPr>
        <w:t>For enduring agreements, include the required patient, assignor, practitioner or practice, covered services, acceptance, notification and termination information.</w:t>
      </w:r>
    </w:p>
    <w:p w14:paraId="5373E593" w14:textId="77777777" w:rsidR="00AF53C0" w:rsidRPr="00AF53C0" w:rsidRDefault="00AF53C0" w:rsidP="00DC2224">
      <w:pPr>
        <w:pStyle w:val="BlockText"/>
        <w:numPr>
          <w:ilvl w:val="0"/>
          <w:numId w:val="24"/>
        </w:numPr>
        <w:tabs>
          <w:tab w:val="num" w:pos="240"/>
        </w:tabs>
        <w:ind w:left="360"/>
        <w:rPr>
          <w:i/>
          <w:iCs/>
          <w:lang w:val="en-AU"/>
        </w:rPr>
      </w:pPr>
      <w:r w:rsidRPr="00AF53C0">
        <w:rPr>
          <w:i/>
          <w:iCs/>
          <w:lang w:val="en-AU"/>
        </w:rPr>
        <w:t>Include any additional responsible-person, patient-declaration or registration information when the relevant circumstances apply.</w:t>
      </w:r>
    </w:p>
    <w:p w14:paraId="61E92B91" w14:textId="011313E7" w:rsidR="00506F11" w:rsidRPr="00506F11" w:rsidRDefault="00506F11" w:rsidP="00DC2224">
      <w:pPr>
        <w:pStyle w:val="BlockText"/>
        <w:ind w:left="0"/>
        <w:rPr>
          <w:i/>
          <w:iCs/>
          <w:lang w:val="en-AU"/>
        </w:rPr>
      </w:pPr>
      <w:r w:rsidRPr="00506F11">
        <w:rPr>
          <w:i/>
          <w:iCs/>
          <w:lang w:val="en-AU"/>
        </w:rPr>
        <w:t xml:space="preserve">Refer to the </w:t>
      </w:r>
      <w:hyperlink r:id="rId8" w:tgtFrame="_blank" w:history="1">
        <w:r w:rsidRPr="00506F11">
          <w:rPr>
            <w:rStyle w:val="Hyperlink"/>
            <w:iCs/>
            <w:lang w:val="en-AU"/>
          </w:rPr>
          <w:t>Assignment of Medicare Benefits for Bulk Billing: Frequently Asked Questions</w:t>
        </w:r>
      </w:hyperlink>
      <w:r w:rsidRPr="00506F11">
        <w:rPr>
          <w:i/>
          <w:iCs/>
          <w:lang w:val="en-AU"/>
        </w:rPr>
        <w:t xml:space="preserve"> for further information.</w:t>
      </w:r>
    </w:p>
    <w:p w14:paraId="4FA6712F" w14:textId="74D9F4B6" w:rsidR="007678FF" w:rsidRDefault="007678FF" w:rsidP="00DC2224">
      <w:pPr>
        <w:pStyle w:val="BodyText"/>
      </w:pPr>
      <w:r>
        <w:t xml:space="preserve">Before lodging a bulk-billed claim, </w:t>
      </w:r>
      <w:proofErr w:type="gramStart"/>
      <w:r>
        <w:t>confirm that</w:t>
      </w:r>
      <w:proofErr w:type="gramEnd"/>
      <w:r>
        <w:t xml:space="preserve"> the Assignment of Benefit agreement:</w:t>
      </w:r>
    </w:p>
    <w:p w14:paraId="1E6EDA6B" w14:textId="26C975DF" w:rsidR="007678FF" w:rsidRDefault="007678FF" w:rsidP="00DC2224">
      <w:pPr>
        <w:pStyle w:val="BodyText"/>
        <w:numPr>
          <w:ilvl w:val="0"/>
          <w:numId w:val="15"/>
        </w:numPr>
      </w:pPr>
      <w:r>
        <w:t xml:space="preserve">contains </w:t>
      </w:r>
      <w:r w:rsidR="003D0CC3">
        <w:t>all</w:t>
      </w:r>
      <w:r>
        <w:t xml:space="preserve"> information required for the applicable assignment type</w:t>
      </w:r>
    </w:p>
    <w:p w14:paraId="1DBDEAAE" w14:textId="77777777" w:rsidR="007678FF" w:rsidRDefault="007678FF" w:rsidP="00DC2224">
      <w:pPr>
        <w:pStyle w:val="BodyText"/>
        <w:numPr>
          <w:ilvl w:val="0"/>
          <w:numId w:val="15"/>
        </w:numPr>
      </w:pPr>
      <w:r>
        <w:t>has been accepted by the appropriate assignor</w:t>
      </w:r>
    </w:p>
    <w:p w14:paraId="19E0C458" w14:textId="77777777" w:rsidR="007678FF" w:rsidRDefault="007678FF" w:rsidP="00DC2224">
      <w:pPr>
        <w:pStyle w:val="BodyText"/>
        <w:numPr>
          <w:ilvl w:val="0"/>
          <w:numId w:val="15"/>
        </w:numPr>
      </w:pPr>
      <w:r>
        <w:t>covers the correct patient and rendering practitioner</w:t>
      </w:r>
    </w:p>
    <w:p w14:paraId="5ED9211C" w14:textId="77777777" w:rsidR="007678FF" w:rsidRDefault="007678FF" w:rsidP="00DC2224">
      <w:pPr>
        <w:pStyle w:val="BodyText"/>
        <w:numPr>
          <w:ilvl w:val="0"/>
          <w:numId w:val="15"/>
        </w:numPr>
      </w:pPr>
      <w:r>
        <w:t>covers the date and service</w:t>
      </w:r>
    </w:p>
    <w:p w14:paraId="43D1C110" w14:textId="77777777" w:rsidR="009315F2" w:rsidRPr="009315F2" w:rsidRDefault="009315F2" w:rsidP="00DC2224">
      <w:pPr>
        <w:pStyle w:val="BodyText"/>
        <w:rPr>
          <w:lang w:val="en-AU"/>
        </w:rPr>
      </w:pPr>
      <w:r w:rsidRPr="009315F2">
        <w:rPr>
          <w:lang w:val="en-AU"/>
        </w:rPr>
        <w:t>Also confirm the following, as applicable:</w:t>
      </w:r>
    </w:p>
    <w:p w14:paraId="60E849D8" w14:textId="77777777" w:rsidR="009315F2" w:rsidRPr="009315F2" w:rsidRDefault="009315F2" w:rsidP="00DC2224">
      <w:pPr>
        <w:pStyle w:val="BodyText"/>
        <w:numPr>
          <w:ilvl w:val="0"/>
          <w:numId w:val="18"/>
        </w:numPr>
        <w:rPr>
          <w:lang w:val="en-AU"/>
        </w:rPr>
      </w:pPr>
      <w:r w:rsidRPr="009315F2">
        <w:rPr>
          <w:lang w:val="en-AU"/>
        </w:rPr>
        <w:t>For a pre-service agreement, confirm that the service delivered is covered by the basic service description.</w:t>
      </w:r>
    </w:p>
    <w:p w14:paraId="4A65C4CD" w14:textId="77777777" w:rsidR="009315F2" w:rsidRPr="009315F2" w:rsidRDefault="009315F2" w:rsidP="00DC2224">
      <w:pPr>
        <w:pStyle w:val="BodyText"/>
        <w:numPr>
          <w:ilvl w:val="0"/>
          <w:numId w:val="18"/>
        </w:numPr>
        <w:rPr>
          <w:lang w:val="en-AU"/>
        </w:rPr>
      </w:pPr>
      <w:r w:rsidRPr="009315F2">
        <w:rPr>
          <w:lang w:val="en-AU"/>
        </w:rPr>
        <w:t>For a post-service agreement, confirm that the agreement contains the MBS item or items claimed.</w:t>
      </w:r>
    </w:p>
    <w:p w14:paraId="3D3BC470" w14:textId="77777777" w:rsidR="009315F2" w:rsidRPr="009315F2" w:rsidRDefault="009315F2" w:rsidP="00DC2224">
      <w:pPr>
        <w:pStyle w:val="BodyText"/>
        <w:numPr>
          <w:ilvl w:val="0"/>
          <w:numId w:val="18"/>
        </w:numPr>
        <w:rPr>
          <w:lang w:val="en-AU"/>
        </w:rPr>
      </w:pPr>
      <w:r w:rsidRPr="009315F2">
        <w:rPr>
          <w:lang w:val="en-AU"/>
        </w:rPr>
        <w:t>For an enduring agreement, confirm that the agreement remains in effect and that the service is within its agreed scope.</w:t>
      </w:r>
    </w:p>
    <w:p w14:paraId="38EBDFF8" w14:textId="77777777" w:rsidR="009315F2" w:rsidRPr="009315F2" w:rsidRDefault="009315F2" w:rsidP="00DC2224">
      <w:pPr>
        <w:pStyle w:val="BodyText"/>
        <w:rPr>
          <w:lang w:val="en-AU"/>
        </w:rPr>
      </w:pPr>
      <w:r w:rsidRPr="009315F2">
        <w:rPr>
          <w:lang w:val="en-AU"/>
        </w:rPr>
        <w:t>If a change to the practitioner, date or service means that an episodic agreement no longer covers the claim, obtain a new pre-service agreement or a post-service agreement before lodging the claim.</w:t>
      </w:r>
    </w:p>
    <w:p w14:paraId="4BFBFA6B" w14:textId="77777777" w:rsidR="009315F2" w:rsidRPr="009315F2" w:rsidRDefault="009315F2" w:rsidP="00DC2224">
      <w:pPr>
        <w:pStyle w:val="BodyText"/>
        <w:rPr>
          <w:lang w:val="en-AU"/>
        </w:rPr>
      </w:pPr>
      <w:r w:rsidRPr="009315F2">
        <w:rPr>
          <w:lang w:val="en-AU"/>
        </w:rPr>
        <w:t>All services within the agreed scope of an enduring agreement must be bulk billed while the agreement remains in effect. If the scope needs to change, end the existing agreement and enter into a new agreement.</w:t>
      </w:r>
    </w:p>
    <w:p w14:paraId="1CC2C619" w14:textId="37D98329" w:rsidR="009315F2" w:rsidRPr="009315F2" w:rsidRDefault="009315F2" w:rsidP="00DC2224">
      <w:pPr>
        <w:pStyle w:val="BodyText"/>
        <w:rPr>
          <w:lang w:val="en-AU"/>
        </w:rPr>
      </w:pPr>
      <w:r w:rsidRPr="009315F2">
        <w:rPr>
          <w:lang w:val="en-AU"/>
        </w:rPr>
        <w:t>Where a health practitioner gives notice terminating an enduring agreement, the termination takes effect two days after the notice is given.</w:t>
      </w:r>
    </w:p>
    <w:p w14:paraId="53457398" w14:textId="522AF8D0" w:rsidR="007311BC" w:rsidRPr="008C77AB" w:rsidRDefault="009315F2" w:rsidP="00DC2224">
      <w:pPr>
        <w:pStyle w:val="BodyText"/>
        <w:rPr>
          <w:color w:val="EE0000"/>
          <w:lang w:val="en-AU"/>
        </w:rPr>
      </w:pPr>
      <w:r w:rsidRPr="009315F2">
        <w:rPr>
          <w:lang w:val="en-AU"/>
        </w:rPr>
        <w:t>If the agreement is missing, incomplete, refused, unclear or does not cover the claim, hold the claim and refer it to</w:t>
      </w:r>
      <w:r>
        <w:rPr>
          <w:lang w:val="en-AU"/>
        </w:rPr>
        <w:t xml:space="preserve"> </w:t>
      </w:r>
      <w:r w:rsidRPr="00C82BC0">
        <w:rPr>
          <w:i/>
          <w:color w:val="EE0000"/>
        </w:rPr>
        <w:t>[role].</w:t>
      </w:r>
    </w:p>
    <w:p w14:paraId="0ADEBA58" w14:textId="63CDA317" w:rsidR="007426A4" w:rsidRDefault="00773698" w:rsidP="00DC2224">
      <w:pPr>
        <w:pStyle w:val="Heading2"/>
        <w:numPr>
          <w:ilvl w:val="0"/>
          <w:numId w:val="17"/>
        </w:numPr>
      </w:pPr>
      <w:bookmarkStart w:id="9" w:name="assignor"/>
      <w:bookmarkEnd w:id="8"/>
      <w:r>
        <w:t>Assignor</w:t>
      </w:r>
    </w:p>
    <w:p w14:paraId="335A5555" w14:textId="77777777" w:rsidR="00A870B2" w:rsidRDefault="001A42D4" w:rsidP="00DC2224">
      <w:pPr>
        <w:pStyle w:val="BlockText"/>
        <w:ind w:left="0"/>
        <w:rPr>
          <w:i/>
          <w:iCs/>
        </w:rPr>
      </w:pPr>
      <w:proofErr w:type="gramStart"/>
      <w:r w:rsidRPr="001A42D4">
        <w:rPr>
          <w:i/>
          <w:iCs/>
        </w:rPr>
        <w:t>Document</w:t>
      </w:r>
      <w:proofErr w:type="gramEnd"/>
      <w:r w:rsidRPr="001A42D4">
        <w:rPr>
          <w:i/>
          <w:iCs/>
        </w:rPr>
        <w:t xml:space="preserve"> how the practice manages children, patients who may lack capacity and situations where someone else is responsible for the medical expense.</w:t>
      </w:r>
      <w:r w:rsidR="00A870B2">
        <w:rPr>
          <w:i/>
          <w:iCs/>
        </w:rPr>
        <w:t xml:space="preserve">     </w:t>
      </w:r>
    </w:p>
    <w:p w14:paraId="77A55F40" w14:textId="77777777" w:rsidR="00874154" w:rsidRDefault="00A870B2" w:rsidP="00DC2224">
      <w:pPr>
        <w:pStyle w:val="BlockText"/>
        <w:ind w:left="0"/>
        <w:rPr>
          <w:i/>
          <w:iCs/>
          <w:lang w:val="en-AU"/>
        </w:rPr>
      </w:pPr>
      <w:r w:rsidRPr="00A870B2">
        <w:rPr>
          <w:i/>
          <w:iCs/>
          <w:lang w:val="en-AU"/>
        </w:rPr>
        <w:lastRenderedPageBreak/>
        <w:t>For an enduring agreement covering services provided to another person, confirm that the assignor meets the definition of a responsible person under subsection 65</w:t>
      </w:r>
      <w:proofErr w:type="gramStart"/>
      <w:r w:rsidRPr="00A870B2">
        <w:rPr>
          <w:i/>
          <w:iCs/>
          <w:lang w:val="en-AU"/>
        </w:rPr>
        <w:t>CA(</w:t>
      </w:r>
      <w:proofErr w:type="gramEnd"/>
      <w:r w:rsidRPr="00A870B2">
        <w:rPr>
          <w:i/>
          <w:iCs/>
          <w:lang w:val="en-AU"/>
        </w:rPr>
        <w:t xml:space="preserve">3) of the Health Insurance Regulations 2018. </w:t>
      </w:r>
    </w:p>
    <w:p w14:paraId="64CC409D" w14:textId="66AF8C47" w:rsidR="00A870B2" w:rsidRPr="00A870B2" w:rsidRDefault="00A870B2" w:rsidP="00DC2224">
      <w:pPr>
        <w:pStyle w:val="BlockText"/>
        <w:ind w:left="0"/>
        <w:rPr>
          <w:i/>
          <w:iCs/>
          <w:lang w:val="en-AU"/>
        </w:rPr>
      </w:pPr>
      <w:r w:rsidRPr="00A870B2">
        <w:rPr>
          <w:i/>
          <w:iCs/>
          <w:lang w:val="en-AU"/>
        </w:rPr>
        <w:t>A responsible person may be a parent, stepparent, foster parent, spouse, de facto partner, guardian, an eligible relative who lives with the patient, or a person exercising an enduring power of attorney for the patient’s health decisions.</w:t>
      </w:r>
    </w:p>
    <w:p w14:paraId="6D60C4B7" w14:textId="77777777" w:rsidR="008C77AB" w:rsidRPr="008C77AB" w:rsidRDefault="008C77AB" w:rsidP="00DC2224">
      <w:pPr>
        <w:pStyle w:val="BodyText"/>
        <w:rPr>
          <w:lang w:val="en-AU"/>
        </w:rPr>
      </w:pPr>
      <w:r w:rsidRPr="008C77AB">
        <w:rPr>
          <w:lang w:val="en-AU"/>
        </w:rPr>
        <w:t>The assignor is the person who would otherwise incur the medical expense and be entitled to the Medicare benefit. The patient will usually be the assignor.</w:t>
      </w:r>
    </w:p>
    <w:p w14:paraId="34679A17" w14:textId="77777777" w:rsidR="008C77AB" w:rsidRPr="008C77AB" w:rsidRDefault="008C77AB" w:rsidP="00DC2224">
      <w:pPr>
        <w:pStyle w:val="BodyText"/>
        <w:rPr>
          <w:lang w:val="en-AU"/>
        </w:rPr>
      </w:pPr>
      <w:r w:rsidRPr="008C77AB">
        <w:rPr>
          <w:lang w:val="en-AU"/>
        </w:rPr>
        <w:t>The rendering practitioner, practice staff and residential aged-care home staff must not assign the patient’s benefit solely because of their professional or employment role. Staff may assist the assignor to complete an agreement but must not sign or accept it on the assignor’s behalf.</w:t>
      </w:r>
    </w:p>
    <w:p w14:paraId="058F423F" w14:textId="77777777" w:rsidR="008C77AB" w:rsidRPr="008C77AB" w:rsidRDefault="008C77AB" w:rsidP="00DC2224">
      <w:pPr>
        <w:pStyle w:val="BodyText"/>
        <w:rPr>
          <w:lang w:val="en-AU"/>
        </w:rPr>
      </w:pPr>
      <w:r w:rsidRPr="008C77AB">
        <w:rPr>
          <w:lang w:val="en-AU"/>
        </w:rPr>
        <w:t>Where another person assigns the benefit, staff must:</w:t>
      </w:r>
    </w:p>
    <w:p w14:paraId="63ED0EDA" w14:textId="77777777" w:rsidR="008C77AB" w:rsidRPr="008C77AB" w:rsidRDefault="008C77AB" w:rsidP="00DC2224">
      <w:pPr>
        <w:pStyle w:val="BodyText"/>
        <w:numPr>
          <w:ilvl w:val="0"/>
          <w:numId w:val="21"/>
        </w:numPr>
        <w:rPr>
          <w:lang w:val="en-AU"/>
        </w:rPr>
      </w:pPr>
      <w:r w:rsidRPr="008C77AB">
        <w:rPr>
          <w:lang w:val="en-AU"/>
        </w:rPr>
        <w:t>confirm that the person is entitled to assign the benefit</w:t>
      </w:r>
    </w:p>
    <w:p w14:paraId="185FA23B" w14:textId="77777777" w:rsidR="008C77AB" w:rsidRPr="008C77AB" w:rsidRDefault="008C77AB" w:rsidP="00DC2224">
      <w:pPr>
        <w:pStyle w:val="BodyText"/>
        <w:numPr>
          <w:ilvl w:val="0"/>
          <w:numId w:val="21"/>
        </w:numPr>
        <w:rPr>
          <w:lang w:val="en-AU"/>
        </w:rPr>
      </w:pPr>
      <w:r w:rsidRPr="008C77AB">
        <w:rPr>
          <w:lang w:val="en-AU"/>
        </w:rPr>
        <w:t>for an enduring agreement, confirm that the person is an appropriate responsible person</w:t>
      </w:r>
    </w:p>
    <w:p w14:paraId="27DF6D87" w14:textId="77777777" w:rsidR="008C77AB" w:rsidRPr="008C77AB" w:rsidRDefault="008C77AB" w:rsidP="00DC2224">
      <w:pPr>
        <w:pStyle w:val="BodyText"/>
        <w:numPr>
          <w:ilvl w:val="0"/>
          <w:numId w:val="21"/>
        </w:numPr>
        <w:rPr>
          <w:lang w:val="en-AU"/>
        </w:rPr>
      </w:pPr>
      <w:r w:rsidRPr="008C77AB">
        <w:rPr>
          <w:lang w:val="en-AU"/>
        </w:rPr>
        <w:t>complete the assignor information required for the applicable episodic or enduring agreement</w:t>
      </w:r>
    </w:p>
    <w:p w14:paraId="4179A172" w14:textId="77777777" w:rsidR="008C77AB" w:rsidRPr="008C77AB" w:rsidRDefault="008C77AB" w:rsidP="00DC2224">
      <w:pPr>
        <w:pStyle w:val="BodyText"/>
        <w:numPr>
          <w:ilvl w:val="0"/>
          <w:numId w:val="21"/>
        </w:numPr>
        <w:rPr>
          <w:lang w:val="en-AU"/>
        </w:rPr>
      </w:pPr>
      <w:r w:rsidRPr="008C77AB">
        <w:rPr>
          <w:lang w:val="en-AU"/>
        </w:rPr>
        <w:t>obtain any declaration required from the patient.</w:t>
      </w:r>
    </w:p>
    <w:p w14:paraId="72335E3D" w14:textId="77777777" w:rsidR="008C77AB" w:rsidRPr="008C77AB" w:rsidRDefault="008C77AB" w:rsidP="00DC2224">
      <w:pPr>
        <w:pStyle w:val="BodyText"/>
        <w:rPr>
          <w:lang w:val="en-AU"/>
        </w:rPr>
      </w:pPr>
      <w:r w:rsidRPr="008C77AB">
        <w:rPr>
          <w:lang w:val="en-AU"/>
        </w:rPr>
        <w:t xml:space="preserve">Hold the claim and refer it to </w:t>
      </w:r>
      <w:r w:rsidRPr="008C77AB">
        <w:rPr>
          <w:i/>
          <w:iCs/>
          <w:color w:val="EE0000"/>
          <w:lang w:val="en-AU"/>
        </w:rPr>
        <w:t>[role]</w:t>
      </w:r>
      <w:r w:rsidRPr="008C77AB">
        <w:rPr>
          <w:color w:val="EE0000"/>
          <w:lang w:val="en-AU"/>
        </w:rPr>
        <w:t xml:space="preserve"> </w:t>
      </w:r>
      <w:r w:rsidRPr="008C77AB">
        <w:rPr>
          <w:lang w:val="en-AU"/>
        </w:rPr>
        <w:t>if:</w:t>
      </w:r>
    </w:p>
    <w:p w14:paraId="37B34378" w14:textId="77777777" w:rsidR="008C77AB" w:rsidRPr="008C77AB" w:rsidRDefault="008C77AB" w:rsidP="00DC2224">
      <w:pPr>
        <w:pStyle w:val="BodyText"/>
        <w:numPr>
          <w:ilvl w:val="0"/>
          <w:numId w:val="22"/>
        </w:numPr>
        <w:rPr>
          <w:lang w:val="en-AU"/>
        </w:rPr>
      </w:pPr>
      <w:r w:rsidRPr="008C77AB">
        <w:rPr>
          <w:lang w:val="en-AU"/>
        </w:rPr>
        <w:t>the appropriate assignor is unclear</w:t>
      </w:r>
    </w:p>
    <w:p w14:paraId="73302F6D" w14:textId="77777777" w:rsidR="008C77AB" w:rsidRPr="008C77AB" w:rsidRDefault="008C77AB" w:rsidP="00DC2224">
      <w:pPr>
        <w:pStyle w:val="BodyText"/>
        <w:numPr>
          <w:ilvl w:val="0"/>
          <w:numId w:val="22"/>
        </w:numPr>
        <w:rPr>
          <w:lang w:val="en-AU"/>
        </w:rPr>
      </w:pPr>
      <w:r w:rsidRPr="008C77AB">
        <w:rPr>
          <w:lang w:val="en-AU"/>
        </w:rPr>
        <w:t>the patient’s capacity or the assignor’s authority is uncertain</w:t>
      </w:r>
    </w:p>
    <w:p w14:paraId="1A986AD3" w14:textId="77777777" w:rsidR="008C77AB" w:rsidRPr="008C77AB" w:rsidRDefault="008C77AB" w:rsidP="00DC2224">
      <w:pPr>
        <w:pStyle w:val="BodyText"/>
        <w:numPr>
          <w:ilvl w:val="0"/>
          <w:numId w:val="22"/>
        </w:numPr>
        <w:rPr>
          <w:lang w:val="en-AU"/>
        </w:rPr>
      </w:pPr>
      <w:r w:rsidRPr="008C77AB">
        <w:rPr>
          <w:lang w:val="en-AU"/>
        </w:rPr>
        <w:t>a required patient declaration has not been obtained</w:t>
      </w:r>
    </w:p>
    <w:p w14:paraId="0B94A243" w14:textId="5269F3BE" w:rsidR="008C77AB" w:rsidRPr="00DC2224" w:rsidRDefault="008C77AB" w:rsidP="00DC2224">
      <w:pPr>
        <w:pStyle w:val="BodyText"/>
        <w:numPr>
          <w:ilvl w:val="0"/>
          <w:numId w:val="22"/>
        </w:numPr>
        <w:rPr>
          <w:lang w:val="en-AU"/>
        </w:rPr>
      </w:pPr>
      <w:r w:rsidRPr="008C77AB">
        <w:rPr>
          <w:lang w:val="en-AU"/>
        </w:rPr>
        <w:t>sharing service information may raise a privacy concern.</w:t>
      </w:r>
    </w:p>
    <w:p w14:paraId="53DA11F6" w14:textId="3AA6CAC0" w:rsidR="007426A4" w:rsidRDefault="00773698" w:rsidP="00DC2224">
      <w:pPr>
        <w:pStyle w:val="Heading2"/>
        <w:numPr>
          <w:ilvl w:val="0"/>
          <w:numId w:val="17"/>
        </w:numPr>
      </w:pPr>
      <w:bookmarkStart w:id="10" w:name="records-and-held-claims"/>
      <w:bookmarkEnd w:id="9"/>
      <w:r>
        <w:t xml:space="preserve">Records </w:t>
      </w:r>
      <w:proofErr w:type="gramStart"/>
      <w:r>
        <w:t>and held</w:t>
      </w:r>
      <w:proofErr w:type="gramEnd"/>
      <w:r>
        <w:t xml:space="preserve"> claims</w:t>
      </w:r>
    </w:p>
    <w:p w14:paraId="2BBD07E2" w14:textId="3DC911ED" w:rsidR="001A42D4" w:rsidRPr="001A42D4" w:rsidRDefault="00D54339" w:rsidP="00DC2224">
      <w:pPr>
        <w:pStyle w:val="BlockText"/>
        <w:ind w:left="0" w:right="0"/>
        <w:rPr>
          <w:i/>
          <w:iCs/>
          <w:kern w:val="2"/>
          <w:szCs w:val="22"/>
          <w:lang w:val="en-AU" w:eastAsia="zh-CN" w:bidi="th-TH"/>
        </w:rPr>
      </w:pPr>
      <w:r>
        <w:rPr>
          <w:i/>
          <w:iCs/>
        </w:rPr>
        <w:t xml:space="preserve">Most </w:t>
      </w:r>
      <w:r w:rsidRPr="00D54339">
        <w:rPr>
          <w:i/>
          <w:iCs/>
        </w:rPr>
        <w:t xml:space="preserve">practices will use their practice management or clinical software as the primary record. Where </w:t>
      </w:r>
      <w:proofErr w:type="spellStart"/>
      <w:r w:rsidRPr="00D54339">
        <w:rPr>
          <w:i/>
          <w:iCs/>
        </w:rPr>
        <w:t>centralised</w:t>
      </w:r>
      <w:proofErr w:type="spellEnd"/>
      <w:r w:rsidRPr="00D54339">
        <w:rPr>
          <w:i/>
          <w:iCs/>
        </w:rPr>
        <w:t xml:space="preserve"> or external billing is used, confirm how the billing team checks that the agreement has been completed and can retrieve the record if required.</w:t>
      </w:r>
    </w:p>
    <w:p w14:paraId="4348C7DF" w14:textId="1A3E62E5" w:rsidR="0027704C" w:rsidRDefault="0027704C" w:rsidP="00DC2224">
      <w:pPr>
        <w:pStyle w:val="BodyText"/>
      </w:pPr>
      <w:r>
        <w:t xml:space="preserve">Assignment of Benefit records are stored in </w:t>
      </w:r>
      <w:r w:rsidRPr="00C82BC0">
        <w:rPr>
          <w:i/>
          <w:color w:val="EE0000"/>
        </w:rPr>
        <w:t>[practice software / patient record location]</w:t>
      </w:r>
      <w:r>
        <w:t xml:space="preserve"> and retained for</w:t>
      </w:r>
      <w:r w:rsidR="00D21E64">
        <w:t xml:space="preserve"> </w:t>
      </w:r>
      <w:r w:rsidR="00D21E64" w:rsidRPr="00D21E64">
        <w:rPr>
          <w:i/>
          <w:iCs/>
          <w:color w:val="EE0000"/>
        </w:rPr>
        <w:t>[period (minimum 2 year</w:t>
      </w:r>
      <w:r w:rsidR="005B6577">
        <w:rPr>
          <w:i/>
          <w:iCs/>
          <w:color w:val="EE0000"/>
        </w:rPr>
        <w:t>s)</w:t>
      </w:r>
      <w:r w:rsidR="00D21E64" w:rsidRPr="00D21E64">
        <w:rPr>
          <w:i/>
          <w:iCs/>
          <w:color w:val="EE0000"/>
        </w:rPr>
        <w:t>]</w:t>
      </w:r>
      <w:r w:rsidR="00D21E64">
        <w:rPr>
          <w:color w:val="EE0000"/>
        </w:rPr>
        <w:t xml:space="preserve"> </w:t>
      </w:r>
      <w:r>
        <w:t>from the date the claim is made.</w:t>
      </w:r>
    </w:p>
    <w:p w14:paraId="63AD12A3" w14:textId="77777777" w:rsidR="0027704C" w:rsidRDefault="0027704C" w:rsidP="00DC2224">
      <w:pPr>
        <w:pStyle w:val="BodyText"/>
        <w:rPr>
          <w:i/>
          <w:color w:val="EE0000"/>
        </w:rPr>
      </w:pPr>
      <w:r>
        <w:t xml:space="preserve">Where a paper agreement is used, it is stored securely until it is uploaded to the patient record by </w:t>
      </w:r>
      <w:r w:rsidRPr="00C82BC0">
        <w:rPr>
          <w:i/>
          <w:color w:val="EE0000"/>
        </w:rPr>
        <w:t>[role]</w:t>
      </w:r>
      <w:r>
        <w:t xml:space="preserve"> within </w:t>
      </w:r>
      <w:r w:rsidRPr="00C82BC0">
        <w:rPr>
          <w:i/>
          <w:color w:val="EE0000"/>
        </w:rPr>
        <w:t>[timeframe].</w:t>
      </w:r>
    </w:p>
    <w:p w14:paraId="25161F27" w14:textId="35150DB2" w:rsidR="00F5790D" w:rsidRDefault="00F5790D" w:rsidP="00DC2224">
      <w:pPr>
        <w:pStyle w:val="BodyText"/>
      </w:pPr>
      <w:r w:rsidRPr="00F5790D">
        <w:t xml:space="preserve">Incomplete or unresolved claims are placed in </w:t>
      </w:r>
      <w:r w:rsidRPr="00F5790D">
        <w:rPr>
          <w:i/>
          <w:iCs/>
          <w:color w:val="EE0000"/>
        </w:rPr>
        <w:t>[billing work queue / report / task list]</w:t>
      </w:r>
      <w:r w:rsidRPr="00F5790D">
        <w:t xml:space="preserve"> and reviewed every </w:t>
      </w:r>
      <w:r w:rsidRPr="00F5790D">
        <w:rPr>
          <w:i/>
          <w:iCs/>
          <w:color w:val="EE0000"/>
        </w:rPr>
        <w:t>[day / week]</w:t>
      </w:r>
      <w:r w:rsidRPr="00F5790D">
        <w:t xml:space="preserve"> by </w:t>
      </w:r>
      <w:r w:rsidRPr="00F5790D">
        <w:rPr>
          <w:i/>
          <w:iCs/>
          <w:color w:val="EE0000"/>
        </w:rPr>
        <w:t>[role].</w:t>
      </w:r>
    </w:p>
    <w:p w14:paraId="0DDE19BA" w14:textId="28E4A4D4" w:rsidR="00AA4964" w:rsidRPr="007F7031" w:rsidRDefault="00AA4964" w:rsidP="00DC2224">
      <w:pPr>
        <w:pStyle w:val="BodyText"/>
        <w:rPr>
          <w:iCs/>
        </w:rPr>
      </w:pPr>
      <w:r w:rsidRPr="00AA4964">
        <w:rPr>
          <w:iCs/>
        </w:rPr>
        <w:t xml:space="preserve">A copy of the </w:t>
      </w:r>
      <w:proofErr w:type="gramStart"/>
      <w:r w:rsidRPr="00AA4964">
        <w:rPr>
          <w:iCs/>
        </w:rPr>
        <w:t>completed</w:t>
      </w:r>
      <w:proofErr w:type="gramEnd"/>
      <w:r w:rsidRPr="00AA4964">
        <w:rPr>
          <w:iCs/>
        </w:rPr>
        <w:t xml:space="preserve"> agreement </w:t>
      </w:r>
      <w:r w:rsidR="00A06BF7">
        <w:rPr>
          <w:iCs/>
        </w:rPr>
        <w:t xml:space="preserve">must be </w:t>
      </w:r>
      <w:r w:rsidRPr="00AA4964">
        <w:rPr>
          <w:iCs/>
        </w:rPr>
        <w:t>provided to the patient if requested.</w:t>
      </w:r>
    </w:p>
    <w:p w14:paraId="001F9228" w14:textId="0FA5F2A6" w:rsidR="007426A4" w:rsidRDefault="002B0506" w:rsidP="00DC2224">
      <w:pPr>
        <w:pStyle w:val="Heading2"/>
        <w:numPr>
          <w:ilvl w:val="0"/>
          <w:numId w:val="17"/>
        </w:numPr>
      </w:pPr>
      <w:bookmarkStart w:id="11" w:name="responsibilities-and-review"/>
      <w:bookmarkEnd w:id="10"/>
      <w:r>
        <w:t>R</w:t>
      </w:r>
      <w:r w:rsidR="00773698">
        <w:t>eview</w:t>
      </w:r>
    </w:p>
    <w:p w14:paraId="7E4088BE" w14:textId="7E7D0AFC" w:rsidR="006B696F" w:rsidRDefault="006B696F" w:rsidP="00DC2224">
      <w:pPr>
        <w:pStyle w:val="BlockText"/>
        <w:ind w:left="0" w:right="0"/>
        <w:rPr>
          <w:i/>
          <w:iCs/>
        </w:rPr>
      </w:pPr>
      <w:r w:rsidRPr="006B696F">
        <w:rPr>
          <w:i/>
          <w:iCs/>
        </w:rPr>
        <w:t>Verbal agreement is a temporary fallback. Staff must explain how the assignor signature field will be completed, confirm the assignor agrees, enter “assignor verbally agreed” in the signature field, retain the completed agreement and send it electronically to the patient. This process does not apply to DVA-funded services. Delete this note or update the procedure when the transitional arrangement ends.</w:t>
      </w:r>
    </w:p>
    <w:p w14:paraId="3CB6615A" w14:textId="7829F497" w:rsidR="00667EA7" w:rsidRPr="001A42D4" w:rsidRDefault="00773698" w:rsidP="00DC2224">
      <w:pPr>
        <w:pStyle w:val="BodyText"/>
      </w:pPr>
      <w:r>
        <w:lastRenderedPageBreak/>
        <w:t xml:space="preserve">This procedure is reviewed every </w:t>
      </w:r>
      <w:r w:rsidRPr="00C82BC0">
        <w:rPr>
          <w:i/>
          <w:color w:val="EE0000"/>
          <w:shd w:val="clear" w:color="auto" w:fill="FFFFFF"/>
        </w:rPr>
        <w:t>[frequency]</w:t>
      </w:r>
      <w:r>
        <w:t>, when Assignment of Benefit requirements or practice systems change, when a new service or billing model is introduced, and following a complaint, disputed claim or audit issue.</w:t>
      </w:r>
      <w:bookmarkEnd w:id="2"/>
      <w:bookmarkEnd w:id="11"/>
    </w:p>
    <w:sectPr w:rsidR="00667EA7" w:rsidRPr="001A42D4" w:rsidSect="003A45E9">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1907" w:h="16839"/>
      <w:pgMar w:top="1296" w:right="1152" w:bottom="1296" w:left="1152" w:header="576"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ED14C" w14:textId="77777777" w:rsidR="00682A2C" w:rsidRDefault="00682A2C" w:rsidP="00853054">
      <w:pPr>
        <w:spacing w:after="0" w:line="240" w:lineRule="auto"/>
      </w:pPr>
      <w:r>
        <w:separator/>
      </w:r>
    </w:p>
  </w:endnote>
  <w:endnote w:type="continuationSeparator" w:id="0">
    <w:p w14:paraId="5F032822" w14:textId="77777777" w:rsidR="00682A2C" w:rsidRDefault="00682A2C" w:rsidP="00853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242B" w14:textId="4D9CAE9F" w:rsidR="00853054" w:rsidRDefault="00853054">
    <w:pPr>
      <w:pStyle w:val="Footer"/>
    </w:pPr>
    <w:r>
      <w:rPr>
        <w:noProof/>
      </w:rPr>
      <mc:AlternateContent>
        <mc:Choice Requires="wps">
          <w:drawing>
            <wp:anchor distT="0" distB="0" distL="0" distR="0" simplePos="0" relativeHeight="251662336" behindDoc="0" locked="0" layoutInCell="1" allowOverlap="1" wp14:anchorId="0EE3E5DB" wp14:editId="0977E108">
              <wp:simplePos x="635" y="635"/>
              <wp:positionH relativeFrom="page">
                <wp:align>center</wp:align>
              </wp:positionH>
              <wp:positionV relativeFrom="page">
                <wp:align>bottom</wp:align>
              </wp:positionV>
              <wp:extent cx="622300" cy="376555"/>
              <wp:effectExtent l="0" t="0" r="6350" b="0"/>
              <wp:wrapNone/>
              <wp:docPr id="118175233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BC16021" w14:textId="649180BE"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E3E5DB"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1BC16021" w14:textId="649180BE"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230"/>
      <w:gridCol w:w="5373"/>
    </w:tblGrid>
    <w:tr w:rsidR="003A45E9" w14:paraId="7934A9C9" w14:textId="77777777" w:rsidTr="00AD20FC">
      <w:trPr>
        <w:trHeight w:val="80"/>
      </w:trPr>
      <w:tc>
        <w:tcPr>
          <w:tcW w:w="0" w:type="auto"/>
          <w:hideMark/>
        </w:tcPr>
        <w:p w14:paraId="0359BB91" w14:textId="77777777" w:rsidR="003A45E9" w:rsidRPr="00AD20FC" w:rsidRDefault="003A45E9">
          <w:pPr>
            <w:spacing w:before="100" w:beforeAutospacing="1" w:after="100" w:afterAutospacing="1"/>
            <w:rPr>
              <w:color w:val="003D69"/>
              <w:sz w:val="20"/>
              <w:szCs w:val="20"/>
            </w:rPr>
          </w:pPr>
          <w:r w:rsidRPr="00AD20FC">
            <w:rPr>
              <w:color w:val="003D69"/>
              <w:sz w:val="20"/>
              <w:szCs w:val="20"/>
            </w:rPr>
            <w:t xml:space="preserve">COORDINARE – </w:t>
          </w:r>
          <w:proofErr w:type="gramStart"/>
          <w:r w:rsidRPr="00AD20FC">
            <w:rPr>
              <w:color w:val="003D69"/>
              <w:sz w:val="20"/>
              <w:szCs w:val="20"/>
            </w:rPr>
            <w:t>South Eastern</w:t>
          </w:r>
          <w:proofErr w:type="gramEnd"/>
          <w:r w:rsidRPr="00AD20FC">
            <w:rPr>
              <w:color w:val="003D69"/>
              <w:sz w:val="20"/>
              <w:szCs w:val="20"/>
            </w:rPr>
            <w:t xml:space="preserve"> NSW PHN</w:t>
          </w:r>
        </w:p>
      </w:tc>
      <w:tc>
        <w:tcPr>
          <w:tcW w:w="0" w:type="auto"/>
          <w:hideMark/>
        </w:tcPr>
        <w:p w14:paraId="247D6266" w14:textId="77777777" w:rsidR="003A45E9" w:rsidRPr="00AD20FC" w:rsidRDefault="003A45E9">
          <w:pPr>
            <w:spacing w:before="100" w:beforeAutospacing="1" w:after="100" w:afterAutospacing="1"/>
            <w:jc w:val="right"/>
            <w:rPr>
              <w:color w:val="003D69"/>
              <w:sz w:val="20"/>
              <w:szCs w:val="20"/>
            </w:rPr>
          </w:pPr>
          <w:r w:rsidRPr="00AD20FC">
            <w:rPr>
              <w:color w:val="003D69"/>
              <w:sz w:val="20"/>
              <w:szCs w:val="20"/>
            </w:rPr>
            <w:t xml:space="preserve">Assignment of Benefit Procedure Template | Page </w:t>
          </w:r>
          <w:r w:rsidRPr="00AD20FC">
            <w:rPr>
              <w:color w:val="003D69"/>
              <w:sz w:val="20"/>
              <w:szCs w:val="20"/>
            </w:rPr>
            <w:fldChar w:fldCharType="begin"/>
          </w:r>
          <w:r w:rsidRPr="00AD20FC">
            <w:rPr>
              <w:color w:val="003D69"/>
              <w:sz w:val="20"/>
              <w:szCs w:val="20"/>
            </w:rPr>
            <w:instrText>PAGE</w:instrText>
          </w:r>
          <w:r w:rsidRPr="00AD20FC">
            <w:rPr>
              <w:color w:val="003D69"/>
              <w:sz w:val="20"/>
              <w:szCs w:val="20"/>
            </w:rPr>
            <w:fldChar w:fldCharType="separate"/>
          </w:r>
          <w:r w:rsidRPr="00AD20FC">
            <w:rPr>
              <w:color w:val="003D69"/>
              <w:sz w:val="20"/>
              <w:szCs w:val="20"/>
            </w:rPr>
            <w:t xml:space="preserve"> of </w:t>
          </w:r>
          <w:r w:rsidRPr="00AD20FC">
            <w:rPr>
              <w:color w:val="003D69"/>
              <w:sz w:val="20"/>
              <w:szCs w:val="20"/>
            </w:rPr>
            <w:fldChar w:fldCharType="end"/>
          </w:r>
        </w:p>
      </w:tc>
    </w:tr>
  </w:tbl>
  <w:p w14:paraId="7407C662" w14:textId="57E5DCEF" w:rsidR="00853054" w:rsidRDefault="008530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24E1" w14:textId="1DC26485" w:rsidR="00853054" w:rsidRDefault="00853054">
    <w:pPr>
      <w:pStyle w:val="Footer"/>
    </w:pPr>
    <w:r>
      <w:rPr>
        <w:noProof/>
      </w:rPr>
      <mc:AlternateContent>
        <mc:Choice Requires="wps">
          <w:drawing>
            <wp:anchor distT="0" distB="0" distL="0" distR="0" simplePos="0" relativeHeight="251661312" behindDoc="0" locked="0" layoutInCell="1" allowOverlap="1" wp14:anchorId="459715C9" wp14:editId="230B41B9">
              <wp:simplePos x="635" y="635"/>
              <wp:positionH relativeFrom="page">
                <wp:align>center</wp:align>
              </wp:positionH>
              <wp:positionV relativeFrom="page">
                <wp:align>bottom</wp:align>
              </wp:positionV>
              <wp:extent cx="622300" cy="376555"/>
              <wp:effectExtent l="0" t="0" r="6350" b="0"/>
              <wp:wrapNone/>
              <wp:docPr id="87874793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C16726" w14:textId="629EE0FD"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9715C9" id="_x0000_t202" coordsize="21600,21600" o:spt="202" path="m,l,21600r21600,l21600,xe">
              <v:stroke joinstyle="miter"/>
              <v:path gradientshapeok="t" o:connecttype="rect"/>
            </v:shapetype>
            <v:shape id="Text Box 4" o:spid="_x0000_s1030"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3CC16726" w14:textId="629EE0FD"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81355" w14:textId="77777777" w:rsidR="00682A2C" w:rsidRDefault="00682A2C" w:rsidP="00853054">
      <w:pPr>
        <w:spacing w:after="0" w:line="240" w:lineRule="auto"/>
      </w:pPr>
      <w:r>
        <w:separator/>
      </w:r>
    </w:p>
  </w:footnote>
  <w:footnote w:type="continuationSeparator" w:id="0">
    <w:p w14:paraId="43C48A0A" w14:textId="77777777" w:rsidR="00682A2C" w:rsidRDefault="00682A2C" w:rsidP="00853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D716F" w14:textId="5011CC76" w:rsidR="00853054" w:rsidRDefault="00853054">
    <w:pPr>
      <w:pStyle w:val="Header"/>
    </w:pPr>
    <w:r>
      <w:rPr>
        <w:noProof/>
      </w:rPr>
      <mc:AlternateContent>
        <mc:Choice Requires="wps">
          <w:drawing>
            <wp:anchor distT="0" distB="0" distL="0" distR="0" simplePos="0" relativeHeight="251659264" behindDoc="0" locked="0" layoutInCell="1" allowOverlap="1" wp14:anchorId="55DDB258" wp14:editId="5B3B824D">
              <wp:simplePos x="635" y="635"/>
              <wp:positionH relativeFrom="page">
                <wp:align>center</wp:align>
              </wp:positionH>
              <wp:positionV relativeFrom="page">
                <wp:align>top</wp:align>
              </wp:positionV>
              <wp:extent cx="622300" cy="376555"/>
              <wp:effectExtent l="0" t="0" r="6350" b="4445"/>
              <wp:wrapNone/>
              <wp:docPr id="129188534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9EE00A" w14:textId="0705B6A1"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DDB258"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19EE00A" w14:textId="0705B6A1"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CC5E3" w14:textId="1FBDAE20" w:rsidR="00853054" w:rsidRDefault="00853054">
    <w:pPr>
      <w:pStyle w:val="Header"/>
    </w:pPr>
    <w:r>
      <w:rPr>
        <w:noProof/>
      </w:rPr>
      <mc:AlternateContent>
        <mc:Choice Requires="wps">
          <w:drawing>
            <wp:anchor distT="0" distB="0" distL="0" distR="0" simplePos="0" relativeHeight="251660288" behindDoc="0" locked="0" layoutInCell="1" allowOverlap="1" wp14:anchorId="4ACDC9DB" wp14:editId="55E98F34">
              <wp:simplePos x="914400" y="457200"/>
              <wp:positionH relativeFrom="page">
                <wp:align>center</wp:align>
              </wp:positionH>
              <wp:positionV relativeFrom="page">
                <wp:align>top</wp:align>
              </wp:positionV>
              <wp:extent cx="622300" cy="376555"/>
              <wp:effectExtent l="0" t="0" r="6350" b="4445"/>
              <wp:wrapNone/>
              <wp:docPr id="83865924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AEDD47" w14:textId="426BA823"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CDC9DB"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0FAEDD47" w14:textId="426BA823"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E3C8" w14:textId="5E3F4F8E" w:rsidR="00853054" w:rsidRDefault="00853054">
    <w:pPr>
      <w:pStyle w:val="Header"/>
    </w:pPr>
    <w:r>
      <w:rPr>
        <w:noProof/>
      </w:rPr>
      <mc:AlternateContent>
        <mc:Choice Requires="wps">
          <w:drawing>
            <wp:anchor distT="0" distB="0" distL="0" distR="0" simplePos="0" relativeHeight="251658240" behindDoc="0" locked="0" layoutInCell="1" allowOverlap="1" wp14:anchorId="3DDBE0A4" wp14:editId="67DA8E8B">
              <wp:simplePos x="635" y="635"/>
              <wp:positionH relativeFrom="page">
                <wp:align>center</wp:align>
              </wp:positionH>
              <wp:positionV relativeFrom="page">
                <wp:align>top</wp:align>
              </wp:positionV>
              <wp:extent cx="622300" cy="376555"/>
              <wp:effectExtent l="0" t="0" r="6350" b="4445"/>
              <wp:wrapNone/>
              <wp:docPr id="2138559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4DB9AC8" w14:textId="47CDB7D5"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DBE0A4" id="_x0000_t202" coordsize="21600,21600" o:spt="202" path="m,l,21600r21600,l21600,xe">
              <v:stroke joinstyle="miter"/>
              <v:path gradientshapeok="t" o:connecttype="rect"/>
            </v:shapetype>
            <v:shape id="Text Box 1" o:spid="_x0000_s1029"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14DB9AC8" w14:textId="47CDB7D5" w:rsidR="00853054" w:rsidRPr="00853054" w:rsidRDefault="00853054" w:rsidP="00853054">
                    <w:pPr>
                      <w:spacing w:after="0"/>
                      <w:rPr>
                        <w:rFonts w:eastAsia="Aptos" w:cs="Aptos"/>
                        <w:noProof/>
                        <w:color w:val="FF0000"/>
                        <w:sz w:val="24"/>
                      </w:rPr>
                    </w:pPr>
                    <w:r w:rsidRPr="00853054">
                      <w:rPr>
                        <w:rFonts w:eastAsia="Aptos" w:cs="Aptos"/>
                        <w:noProof/>
                        <w:color w:val="FF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881CFBF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75E44DF2"/>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C001765"/>
    <w:multiLevelType w:val="hybridMultilevel"/>
    <w:tmpl w:val="6B1EF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387A31"/>
    <w:multiLevelType w:val="multilevel"/>
    <w:tmpl w:val="F4668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B5E82"/>
    <w:multiLevelType w:val="hybridMultilevel"/>
    <w:tmpl w:val="C5EC6B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C0A5F8E"/>
    <w:multiLevelType w:val="multilevel"/>
    <w:tmpl w:val="0958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0C58A5"/>
    <w:multiLevelType w:val="hybridMultilevel"/>
    <w:tmpl w:val="8730CCB8"/>
    <w:lvl w:ilvl="0" w:tplc="0C09000F">
      <w:start w:val="3"/>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56963EC"/>
    <w:multiLevelType w:val="multilevel"/>
    <w:tmpl w:val="3A368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414CFD"/>
    <w:multiLevelType w:val="multilevel"/>
    <w:tmpl w:val="994EC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AC681C"/>
    <w:multiLevelType w:val="hybridMultilevel"/>
    <w:tmpl w:val="27543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FF50E73"/>
    <w:multiLevelType w:val="multilevel"/>
    <w:tmpl w:val="FCCE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AF5717"/>
    <w:multiLevelType w:val="multilevel"/>
    <w:tmpl w:val="9874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3F1B57"/>
    <w:multiLevelType w:val="hybridMultilevel"/>
    <w:tmpl w:val="FF2AB9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E4A5B29"/>
    <w:multiLevelType w:val="hybridMultilevel"/>
    <w:tmpl w:val="120CC29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F6F488A"/>
    <w:multiLevelType w:val="multilevel"/>
    <w:tmpl w:val="430E0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6914BA"/>
    <w:multiLevelType w:val="multilevel"/>
    <w:tmpl w:val="9EE8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B448BB"/>
    <w:multiLevelType w:val="multilevel"/>
    <w:tmpl w:val="EA1C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0C52BF"/>
    <w:multiLevelType w:val="hybridMultilevel"/>
    <w:tmpl w:val="502630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6EE377A"/>
    <w:multiLevelType w:val="multilevel"/>
    <w:tmpl w:val="2884A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B323D0"/>
    <w:multiLevelType w:val="multilevel"/>
    <w:tmpl w:val="3CD4E68E"/>
    <w:lvl w:ilvl="0">
      <w:start w:val="1"/>
      <w:numFmt w:val="bullet"/>
      <w:lvlText w:val=""/>
      <w:lvlJc w:val="left"/>
      <w:pPr>
        <w:tabs>
          <w:tab w:val="num" w:pos="840"/>
        </w:tabs>
        <w:ind w:left="840" w:hanging="360"/>
      </w:pPr>
      <w:rPr>
        <w:rFonts w:ascii="Symbol" w:hAnsi="Symbol" w:hint="default"/>
        <w:sz w:val="20"/>
      </w:rPr>
    </w:lvl>
    <w:lvl w:ilvl="1" w:tentative="1">
      <w:start w:val="1"/>
      <w:numFmt w:val="bullet"/>
      <w:lvlText w:val="o"/>
      <w:lvlJc w:val="left"/>
      <w:pPr>
        <w:tabs>
          <w:tab w:val="num" w:pos="1560"/>
        </w:tabs>
        <w:ind w:left="1560" w:hanging="360"/>
      </w:pPr>
      <w:rPr>
        <w:rFonts w:ascii="Courier New" w:hAnsi="Courier New" w:hint="default"/>
        <w:sz w:val="20"/>
      </w:rPr>
    </w:lvl>
    <w:lvl w:ilvl="2" w:tentative="1">
      <w:start w:val="1"/>
      <w:numFmt w:val="bullet"/>
      <w:lvlText w:val=""/>
      <w:lvlJc w:val="left"/>
      <w:pPr>
        <w:tabs>
          <w:tab w:val="num" w:pos="2280"/>
        </w:tabs>
        <w:ind w:left="2280" w:hanging="360"/>
      </w:pPr>
      <w:rPr>
        <w:rFonts w:ascii="Wingdings" w:hAnsi="Wingdings" w:hint="default"/>
        <w:sz w:val="20"/>
      </w:rPr>
    </w:lvl>
    <w:lvl w:ilvl="3" w:tentative="1">
      <w:start w:val="1"/>
      <w:numFmt w:val="bullet"/>
      <w:lvlText w:val=""/>
      <w:lvlJc w:val="left"/>
      <w:pPr>
        <w:tabs>
          <w:tab w:val="num" w:pos="3000"/>
        </w:tabs>
        <w:ind w:left="3000" w:hanging="360"/>
      </w:pPr>
      <w:rPr>
        <w:rFonts w:ascii="Wingdings" w:hAnsi="Wingdings" w:hint="default"/>
        <w:sz w:val="20"/>
      </w:rPr>
    </w:lvl>
    <w:lvl w:ilvl="4" w:tentative="1">
      <w:start w:val="1"/>
      <w:numFmt w:val="bullet"/>
      <w:lvlText w:val=""/>
      <w:lvlJc w:val="left"/>
      <w:pPr>
        <w:tabs>
          <w:tab w:val="num" w:pos="3720"/>
        </w:tabs>
        <w:ind w:left="3720" w:hanging="360"/>
      </w:pPr>
      <w:rPr>
        <w:rFonts w:ascii="Wingdings" w:hAnsi="Wingdings" w:hint="default"/>
        <w:sz w:val="20"/>
      </w:rPr>
    </w:lvl>
    <w:lvl w:ilvl="5" w:tentative="1">
      <w:start w:val="1"/>
      <w:numFmt w:val="bullet"/>
      <w:lvlText w:val=""/>
      <w:lvlJc w:val="left"/>
      <w:pPr>
        <w:tabs>
          <w:tab w:val="num" w:pos="4440"/>
        </w:tabs>
        <w:ind w:left="4440" w:hanging="360"/>
      </w:pPr>
      <w:rPr>
        <w:rFonts w:ascii="Wingdings" w:hAnsi="Wingdings" w:hint="default"/>
        <w:sz w:val="20"/>
      </w:rPr>
    </w:lvl>
    <w:lvl w:ilvl="6" w:tentative="1">
      <w:start w:val="1"/>
      <w:numFmt w:val="bullet"/>
      <w:lvlText w:val=""/>
      <w:lvlJc w:val="left"/>
      <w:pPr>
        <w:tabs>
          <w:tab w:val="num" w:pos="5160"/>
        </w:tabs>
        <w:ind w:left="5160" w:hanging="360"/>
      </w:pPr>
      <w:rPr>
        <w:rFonts w:ascii="Wingdings" w:hAnsi="Wingdings" w:hint="default"/>
        <w:sz w:val="20"/>
      </w:rPr>
    </w:lvl>
    <w:lvl w:ilvl="7" w:tentative="1">
      <w:start w:val="1"/>
      <w:numFmt w:val="bullet"/>
      <w:lvlText w:val=""/>
      <w:lvlJc w:val="left"/>
      <w:pPr>
        <w:tabs>
          <w:tab w:val="num" w:pos="5880"/>
        </w:tabs>
        <w:ind w:left="5880" w:hanging="360"/>
      </w:pPr>
      <w:rPr>
        <w:rFonts w:ascii="Wingdings" w:hAnsi="Wingdings" w:hint="default"/>
        <w:sz w:val="20"/>
      </w:rPr>
    </w:lvl>
    <w:lvl w:ilvl="8" w:tentative="1">
      <w:start w:val="1"/>
      <w:numFmt w:val="bullet"/>
      <w:lvlText w:val=""/>
      <w:lvlJc w:val="left"/>
      <w:pPr>
        <w:tabs>
          <w:tab w:val="num" w:pos="6600"/>
        </w:tabs>
        <w:ind w:left="6600" w:hanging="360"/>
      </w:pPr>
      <w:rPr>
        <w:rFonts w:ascii="Wingdings" w:hAnsi="Wingdings" w:hint="default"/>
        <w:sz w:val="20"/>
      </w:rPr>
    </w:lvl>
  </w:abstractNum>
  <w:abstractNum w:abstractNumId="20" w15:restartNumberingAfterBreak="0">
    <w:nsid w:val="6A406106"/>
    <w:multiLevelType w:val="multilevel"/>
    <w:tmpl w:val="F13C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D65D94"/>
    <w:multiLevelType w:val="multilevel"/>
    <w:tmpl w:val="980C9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020082"/>
    <w:multiLevelType w:val="multilevel"/>
    <w:tmpl w:val="37F06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B51946"/>
    <w:multiLevelType w:val="multilevel"/>
    <w:tmpl w:val="A70E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2107453">
    <w:abstractNumId w:val="0"/>
  </w:num>
  <w:num w:numId="2" w16cid:durableId="600601927">
    <w:abstractNumId w:val="1"/>
  </w:num>
  <w:num w:numId="3" w16cid:durableId="1481271390">
    <w:abstractNumId w:val="18"/>
  </w:num>
  <w:num w:numId="4" w16cid:durableId="587346918">
    <w:abstractNumId w:val="14"/>
  </w:num>
  <w:num w:numId="5" w16cid:durableId="1262104517">
    <w:abstractNumId w:val="3"/>
  </w:num>
  <w:num w:numId="6" w16cid:durableId="878322614">
    <w:abstractNumId w:val="5"/>
  </w:num>
  <w:num w:numId="7" w16cid:durableId="877006027">
    <w:abstractNumId w:val="7"/>
  </w:num>
  <w:num w:numId="8" w16cid:durableId="2102949757">
    <w:abstractNumId w:val="16"/>
  </w:num>
  <w:num w:numId="9" w16cid:durableId="752967662">
    <w:abstractNumId w:val="11"/>
  </w:num>
  <w:num w:numId="10" w16cid:durableId="1664043104">
    <w:abstractNumId w:val="10"/>
  </w:num>
  <w:num w:numId="11" w16cid:durableId="704527942">
    <w:abstractNumId w:val="23"/>
  </w:num>
  <w:num w:numId="12" w16cid:durableId="199124511">
    <w:abstractNumId w:val="13"/>
  </w:num>
  <w:num w:numId="13" w16cid:durableId="1221403914">
    <w:abstractNumId w:val="12"/>
  </w:num>
  <w:num w:numId="14" w16cid:durableId="2067023233">
    <w:abstractNumId w:val="9"/>
  </w:num>
  <w:num w:numId="15" w16cid:durableId="1040782625">
    <w:abstractNumId w:val="17"/>
  </w:num>
  <w:num w:numId="16" w16cid:durableId="1895703013">
    <w:abstractNumId w:val="2"/>
  </w:num>
  <w:num w:numId="17" w16cid:durableId="2038042315">
    <w:abstractNumId w:val="6"/>
  </w:num>
  <w:num w:numId="18" w16cid:durableId="842208792">
    <w:abstractNumId w:val="22"/>
  </w:num>
  <w:num w:numId="19" w16cid:durableId="994604522">
    <w:abstractNumId w:val="8"/>
  </w:num>
  <w:num w:numId="20" w16cid:durableId="576744878">
    <w:abstractNumId w:val="21"/>
  </w:num>
  <w:num w:numId="21" w16cid:durableId="1516113416">
    <w:abstractNumId w:val="15"/>
  </w:num>
  <w:num w:numId="22" w16cid:durableId="1033655584">
    <w:abstractNumId w:val="20"/>
  </w:num>
  <w:num w:numId="23" w16cid:durableId="681663113">
    <w:abstractNumId w:val="4"/>
  </w:num>
  <w:num w:numId="24" w16cid:durableId="1287201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6A4"/>
    <w:rsid w:val="0001083D"/>
    <w:rsid w:val="00012931"/>
    <w:rsid w:val="00015AA6"/>
    <w:rsid w:val="000375AC"/>
    <w:rsid w:val="000574BD"/>
    <w:rsid w:val="00063BCF"/>
    <w:rsid w:val="00083DB6"/>
    <w:rsid w:val="000A3E02"/>
    <w:rsid w:val="000D189E"/>
    <w:rsid w:val="000D49D9"/>
    <w:rsid w:val="00100B23"/>
    <w:rsid w:val="001025CC"/>
    <w:rsid w:val="0010432C"/>
    <w:rsid w:val="00112660"/>
    <w:rsid w:val="00122F96"/>
    <w:rsid w:val="001232AB"/>
    <w:rsid w:val="00153A7E"/>
    <w:rsid w:val="00170FAF"/>
    <w:rsid w:val="0019689D"/>
    <w:rsid w:val="001A42D4"/>
    <w:rsid w:val="001B44E3"/>
    <w:rsid w:val="001D1BEB"/>
    <w:rsid w:val="001E479E"/>
    <w:rsid w:val="002334FB"/>
    <w:rsid w:val="00236C32"/>
    <w:rsid w:val="00240740"/>
    <w:rsid w:val="00265B65"/>
    <w:rsid w:val="0027704C"/>
    <w:rsid w:val="002A71C2"/>
    <w:rsid w:val="002B0506"/>
    <w:rsid w:val="002B3837"/>
    <w:rsid w:val="002B6276"/>
    <w:rsid w:val="002C271C"/>
    <w:rsid w:val="00325B72"/>
    <w:rsid w:val="00354010"/>
    <w:rsid w:val="003677B0"/>
    <w:rsid w:val="00375EC1"/>
    <w:rsid w:val="003858EA"/>
    <w:rsid w:val="003A45E9"/>
    <w:rsid w:val="003C123E"/>
    <w:rsid w:val="003D0CC3"/>
    <w:rsid w:val="003D3DD3"/>
    <w:rsid w:val="003D7A4E"/>
    <w:rsid w:val="0045658D"/>
    <w:rsid w:val="00460B6E"/>
    <w:rsid w:val="0048098C"/>
    <w:rsid w:val="004938C0"/>
    <w:rsid w:val="004A7866"/>
    <w:rsid w:val="004B53C2"/>
    <w:rsid w:val="004B5D2A"/>
    <w:rsid w:val="00506F11"/>
    <w:rsid w:val="00573A3E"/>
    <w:rsid w:val="005907EF"/>
    <w:rsid w:val="005B5066"/>
    <w:rsid w:val="005B62D4"/>
    <w:rsid w:val="005B6577"/>
    <w:rsid w:val="005C00B3"/>
    <w:rsid w:val="005E156D"/>
    <w:rsid w:val="00605829"/>
    <w:rsid w:val="0061386C"/>
    <w:rsid w:val="006239D9"/>
    <w:rsid w:val="0064257D"/>
    <w:rsid w:val="00667EA7"/>
    <w:rsid w:val="00670F8D"/>
    <w:rsid w:val="00673F03"/>
    <w:rsid w:val="006750F3"/>
    <w:rsid w:val="00682A2C"/>
    <w:rsid w:val="0069704F"/>
    <w:rsid w:val="006B696F"/>
    <w:rsid w:val="006C39B5"/>
    <w:rsid w:val="006E5DFD"/>
    <w:rsid w:val="00720143"/>
    <w:rsid w:val="007311BC"/>
    <w:rsid w:val="007426A4"/>
    <w:rsid w:val="007678FF"/>
    <w:rsid w:val="00773698"/>
    <w:rsid w:val="007B06ED"/>
    <w:rsid w:val="007E151D"/>
    <w:rsid w:val="007F38A9"/>
    <w:rsid w:val="007F62EB"/>
    <w:rsid w:val="007F7031"/>
    <w:rsid w:val="00822FDC"/>
    <w:rsid w:val="00840151"/>
    <w:rsid w:val="00847F1A"/>
    <w:rsid w:val="00853054"/>
    <w:rsid w:val="00862605"/>
    <w:rsid w:val="00874154"/>
    <w:rsid w:val="00884730"/>
    <w:rsid w:val="008B27DB"/>
    <w:rsid w:val="008B33B7"/>
    <w:rsid w:val="008C1916"/>
    <w:rsid w:val="008C77AB"/>
    <w:rsid w:val="008E4A68"/>
    <w:rsid w:val="008F5824"/>
    <w:rsid w:val="009315F2"/>
    <w:rsid w:val="009323A7"/>
    <w:rsid w:val="0095684F"/>
    <w:rsid w:val="009643DB"/>
    <w:rsid w:val="00964F97"/>
    <w:rsid w:val="00977A21"/>
    <w:rsid w:val="00991D26"/>
    <w:rsid w:val="009A0D2B"/>
    <w:rsid w:val="009A44ED"/>
    <w:rsid w:val="009B36E7"/>
    <w:rsid w:val="009D6A0A"/>
    <w:rsid w:val="009D73D1"/>
    <w:rsid w:val="009E25A8"/>
    <w:rsid w:val="009F0A50"/>
    <w:rsid w:val="009F79A3"/>
    <w:rsid w:val="00A00B1E"/>
    <w:rsid w:val="00A06BF7"/>
    <w:rsid w:val="00A163F8"/>
    <w:rsid w:val="00A21E22"/>
    <w:rsid w:val="00A23D99"/>
    <w:rsid w:val="00A46FA9"/>
    <w:rsid w:val="00A613BD"/>
    <w:rsid w:val="00A77740"/>
    <w:rsid w:val="00A846FB"/>
    <w:rsid w:val="00A870B2"/>
    <w:rsid w:val="00AA4964"/>
    <w:rsid w:val="00AA4B8B"/>
    <w:rsid w:val="00AB594E"/>
    <w:rsid w:val="00AC4D33"/>
    <w:rsid w:val="00AD20FC"/>
    <w:rsid w:val="00AE0B91"/>
    <w:rsid w:val="00AE7536"/>
    <w:rsid w:val="00AF2065"/>
    <w:rsid w:val="00AF53C0"/>
    <w:rsid w:val="00B07E23"/>
    <w:rsid w:val="00B15C35"/>
    <w:rsid w:val="00B227AF"/>
    <w:rsid w:val="00B36F50"/>
    <w:rsid w:val="00B43718"/>
    <w:rsid w:val="00B43B4E"/>
    <w:rsid w:val="00B440D5"/>
    <w:rsid w:val="00B763B3"/>
    <w:rsid w:val="00BB6D9D"/>
    <w:rsid w:val="00BD03A0"/>
    <w:rsid w:val="00BE7BA1"/>
    <w:rsid w:val="00BF26A5"/>
    <w:rsid w:val="00BF6FA1"/>
    <w:rsid w:val="00C16667"/>
    <w:rsid w:val="00C1693A"/>
    <w:rsid w:val="00C23A90"/>
    <w:rsid w:val="00C43500"/>
    <w:rsid w:val="00C4367B"/>
    <w:rsid w:val="00C82BC0"/>
    <w:rsid w:val="00CA4FA8"/>
    <w:rsid w:val="00D03DA5"/>
    <w:rsid w:val="00D06B50"/>
    <w:rsid w:val="00D15689"/>
    <w:rsid w:val="00D21E64"/>
    <w:rsid w:val="00D27DD9"/>
    <w:rsid w:val="00D27FE3"/>
    <w:rsid w:val="00D507D6"/>
    <w:rsid w:val="00D54339"/>
    <w:rsid w:val="00D61CE4"/>
    <w:rsid w:val="00D65C35"/>
    <w:rsid w:val="00D80D73"/>
    <w:rsid w:val="00DC2224"/>
    <w:rsid w:val="00DC73A4"/>
    <w:rsid w:val="00DD0BC9"/>
    <w:rsid w:val="00DD4298"/>
    <w:rsid w:val="00DF0A66"/>
    <w:rsid w:val="00E45D63"/>
    <w:rsid w:val="00E52199"/>
    <w:rsid w:val="00E6130D"/>
    <w:rsid w:val="00E63AF5"/>
    <w:rsid w:val="00E71398"/>
    <w:rsid w:val="00E74EF5"/>
    <w:rsid w:val="00E75524"/>
    <w:rsid w:val="00E76E57"/>
    <w:rsid w:val="00EA2A14"/>
    <w:rsid w:val="00EB6F6E"/>
    <w:rsid w:val="00EC3DC1"/>
    <w:rsid w:val="00EC7475"/>
    <w:rsid w:val="00F2289C"/>
    <w:rsid w:val="00F43E98"/>
    <w:rsid w:val="00F47A03"/>
    <w:rsid w:val="00F5790D"/>
    <w:rsid w:val="00F95734"/>
    <w:rsid w:val="00FD294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79DB2"/>
  <w15:docId w15:val="{2E6A3F45-B740-4FD8-B4EC-195A1A106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Block Text"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line="260" w:lineRule="atLeast"/>
    </w:pPr>
    <w:rPr>
      <w:rFonts w:ascii="Calibri" w:hAnsi="Calibri" w:cs="Calibri"/>
      <w:color w:val="000000"/>
      <w:sz w:val="22"/>
    </w:rPr>
  </w:style>
  <w:style w:type="paragraph" w:styleId="Heading1">
    <w:name w:val="heading 1"/>
    <w:basedOn w:val="Normal"/>
    <w:next w:val="BodyText"/>
    <w:link w:val="Heading1Char"/>
    <w:uiPriority w:val="9"/>
    <w:qFormat/>
    <w:rsid w:val="00A10FD9"/>
    <w:pPr>
      <w:keepNext/>
      <w:keepLines/>
      <w:spacing w:before="360" w:after="160" w:line="480" w:lineRule="atLeast"/>
      <w:outlineLvl w:val="0"/>
    </w:pPr>
    <w:rPr>
      <w:rFonts w:eastAsiaTheme="majorEastAsia"/>
      <w:b/>
      <w:color w:val="003D69"/>
      <w:sz w:val="40"/>
      <w:szCs w:val="40"/>
    </w:rPr>
  </w:style>
  <w:style w:type="paragraph" w:styleId="Heading2">
    <w:name w:val="heading 2"/>
    <w:basedOn w:val="Normal"/>
    <w:next w:val="BodyText"/>
    <w:link w:val="Heading2Char"/>
    <w:uiPriority w:val="9"/>
    <w:unhideWhenUsed/>
    <w:qFormat/>
    <w:rsid w:val="00A10FD9"/>
    <w:pPr>
      <w:keepNext/>
      <w:keepLines/>
      <w:spacing w:before="280" w:line="340" w:lineRule="atLeast"/>
      <w:outlineLvl w:val="1"/>
    </w:pPr>
    <w:rPr>
      <w:rFonts w:eastAsiaTheme="majorEastAsia"/>
      <w:b/>
      <w:color w:val="003D69"/>
      <w:sz w:val="28"/>
      <w:szCs w:val="32"/>
    </w:rPr>
  </w:style>
  <w:style w:type="paragraph" w:styleId="Heading3">
    <w:name w:val="heading 3"/>
    <w:basedOn w:val="Normal"/>
    <w:next w:val="BodyText"/>
    <w:link w:val="Heading3Char"/>
    <w:uiPriority w:val="9"/>
    <w:semiHidden/>
    <w:unhideWhenUsed/>
    <w:qFormat/>
    <w:rsid w:val="00A10FD9"/>
    <w:pPr>
      <w:keepNext/>
      <w:keepLines/>
      <w:spacing w:before="200" w:after="80" w:line="280" w:lineRule="atLeast"/>
      <w:outlineLvl w:val="2"/>
    </w:pPr>
    <w:rPr>
      <w:rFonts w:eastAsiaTheme="majorEastAsia"/>
      <w:b/>
      <w:color w:val="277BA1"/>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40" w:after="40" w:line="240" w:lineRule="atLeast"/>
    </w:pPr>
    <w:rPr>
      <w:sz w:val="20"/>
    </w:rPr>
  </w:style>
  <w:style w:type="paragraph" w:styleId="Title">
    <w:name w:val="Title"/>
    <w:basedOn w:val="Normal"/>
    <w:next w:val="BodyText"/>
    <w:link w:val="TitleChar"/>
    <w:uiPriority w:val="10"/>
    <w:qFormat/>
    <w:rsid w:val="00A10FD9"/>
    <w:pPr>
      <w:spacing w:line="560" w:lineRule="atLeast"/>
      <w:contextualSpacing/>
    </w:pPr>
    <w:rPr>
      <w:rFonts w:eastAsiaTheme="majorEastAsia"/>
      <w:b/>
      <w:color w:val="003D69"/>
      <w:spacing w:val="-10"/>
      <w:kern w:val="28"/>
      <w:sz w:val="48"/>
      <w:szCs w:val="56"/>
    </w:rPr>
  </w:style>
  <w:style w:type="character" w:customStyle="1" w:styleId="TitleChar">
    <w:name w:val="Title Char"/>
    <w:basedOn w:val="DefaultParagraphFont"/>
    <w:link w:val="Title"/>
    <w:uiPriority w:val="10"/>
    <w:rsid w:val="00A10FD9"/>
    <w:rPr>
      <w:rFonts w:ascii="Calibri" w:eastAsiaTheme="majorEastAsia" w:hAnsi="Calibri" w:cs="Calibri"/>
      <w:b/>
      <w:color w:val="003D69"/>
      <w:spacing w:val="-10"/>
      <w:kern w:val="28"/>
      <w:sz w:val="48"/>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Calibri" w:eastAsiaTheme="majorEastAsia" w:hAnsi="Calibri" w:cs="Calibri"/>
      <w:b/>
      <w:color w:val="003D69"/>
      <w:sz w:val="40"/>
      <w:szCs w:val="40"/>
    </w:rPr>
  </w:style>
  <w:style w:type="character" w:customStyle="1" w:styleId="Heading2Char">
    <w:name w:val="Heading 2 Char"/>
    <w:basedOn w:val="DefaultParagraphFont"/>
    <w:link w:val="Heading2"/>
    <w:uiPriority w:val="9"/>
    <w:rsid w:val="00A10FD9"/>
    <w:rPr>
      <w:rFonts w:ascii="Calibri" w:eastAsiaTheme="majorEastAsia" w:hAnsi="Calibri" w:cs="Calibri"/>
      <w:b/>
      <w:color w:val="003D69"/>
      <w:sz w:val="28"/>
      <w:szCs w:val="32"/>
    </w:rPr>
  </w:style>
  <w:style w:type="character" w:customStyle="1" w:styleId="Heading3Char">
    <w:name w:val="Heading 3 Char"/>
    <w:basedOn w:val="DefaultParagraphFont"/>
    <w:link w:val="Heading3"/>
    <w:uiPriority w:val="9"/>
    <w:semiHidden/>
    <w:rsid w:val="00A10FD9"/>
    <w:rPr>
      <w:rFonts w:ascii="Calibri" w:eastAsiaTheme="majorEastAsia" w:hAnsi="Calibri" w:cs="Calibri"/>
      <w:b/>
      <w:color w:val="277BA1"/>
      <w:sz w:val="22"/>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rsid w:val="003A45E9"/>
    <w:pPr>
      <w:spacing w:after="0" w:line="240" w:lineRule="atLeast"/>
    </w:pPr>
    <w:rPr>
      <w:rFonts w:ascii="Calibri" w:hAnsi="Calibri" w:cs="Calibri"/>
      <w:color w:val="000000"/>
      <w:sz w:val="20"/>
      <w:szCs w:val="20"/>
      <w:lang w:val="en-AU" w:eastAsia="en-AU" w:bidi="th-TH"/>
    </w:rPr>
    <w:tblPr>
      <w:tblInd w:w="0" w:type="dxa"/>
      <w:tblCellMar>
        <w:top w:w="0" w:type="dxa"/>
        <w:left w:w="2" w:type="dxa"/>
        <w:bottom w:w="0" w:type="dxa"/>
        <w:right w:w="2"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rPr>
      <w:rFonts w:ascii="Aptos" w:hAnsi="Aptos"/>
      <w:i/>
      <w:sz w:val="22"/>
    </w:rPr>
  </w:style>
  <w:style w:type="character" w:customStyle="1" w:styleId="VerbatimChar">
    <w:name w:val="Verbatim Char"/>
    <w:basedOn w:val="CaptionChar"/>
    <w:link w:val="SourceCode"/>
    <w:rPr>
      <w:rFonts w:ascii="Consolas" w:hAnsi="Consolas"/>
      <w:i/>
      <w:sz w:val="22"/>
    </w:rPr>
  </w:style>
  <w:style w:type="character" w:customStyle="1" w:styleId="SectionNumber">
    <w:name w:val="Section Number"/>
    <w:basedOn w:val="CaptionChar"/>
    <w:rPr>
      <w:rFonts w:ascii="Aptos" w:hAnsi="Aptos"/>
      <w:i/>
      <w:sz w:val="22"/>
    </w:rPr>
  </w:style>
  <w:style w:type="character" w:styleId="FootnoteReference">
    <w:name w:val="footnote reference"/>
    <w:basedOn w:val="CaptionChar"/>
    <w:rPr>
      <w:rFonts w:ascii="Aptos" w:hAnsi="Aptos"/>
      <w:i/>
      <w:sz w:val="22"/>
      <w:vertAlign w:val="superscript"/>
    </w:rPr>
  </w:style>
  <w:style w:type="character" w:styleId="Hyperlink">
    <w:name w:val="Hyperlink"/>
    <w:basedOn w:val="CaptionChar"/>
    <w:rPr>
      <w:rFonts w:ascii="Aptos" w:hAnsi="Aptos"/>
      <w:i/>
      <w:color w:val="156082" w:themeColor="accent1"/>
      <w:sz w:val="22"/>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i/>
      <w:color w:val="007020"/>
      <w:sz w:val="22"/>
    </w:rPr>
  </w:style>
  <w:style w:type="character" w:customStyle="1" w:styleId="DataTypeTok">
    <w:name w:val="DataTypeTok"/>
    <w:basedOn w:val="VerbatimChar"/>
    <w:rPr>
      <w:rFonts w:ascii="Consolas" w:hAnsi="Consolas"/>
      <w:i/>
      <w:color w:val="902000"/>
      <w:sz w:val="22"/>
    </w:rPr>
  </w:style>
  <w:style w:type="character" w:customStyle="1" w:styleId="DecValTok">
    <w:name w:val="DecValTok"/>
    <w:basedOn w:val="VerbatimChar"/>
    <w:rPr>
      <w:rFonts w:ascii="Consolas" w:hAnsi="Consolas"/>
      <w:i/>
      <w:color w:val="40A070"/>
      <w:sz w:val="22"/>
    </w:rPr>
  </w:style>
  <w:style w:type="character" w:customStyle="1" w:styleId="BaseNTok">
    <w:name w:val="BaseNTok"/>
    <w:basedOn w:val="VerbatimChar"/>
    <w:rPr>
      <w:rFonts w:ascii="Consolas" w:hAnsi="Consolas"/>
      <w:i/>
      <w:color w:val="40A070"/>
      <w:sz w:val="22"/>
    </w:rPr>
  </w:style>
  <w:style w:type="character" w:customStyle="1" w:styleId="FloatTok">
    <w:name w:val="FloatTok"/>
    <w:basedOn w:val="VerbatimChar"/>
    <w:rPr>
      <w:rFonts w:ascii="Consolas" w:hAnsi="Consolas"/>
      <w:i/>
      <w:color w:val="40A070"/>
      <w:sz w:val="22"/>
    </w:rPr>
  </w:style>
  <w:style w:type="character" w:customStyle="1" w:styleId="ConstantTok">
    <w:name w:val="ConstantTok"/>
    <w:basedOn w:val="VerbatimChar"/>
    <w:rPr>
      <w:rFonts w:ascii="Consolas" w:hAnsi="Consolas"/>
      <w:i/>
      <w:color w:val="880000"/>
      <w:sz w:val="22"/>
    </w:rPr>
  </w:style>
  <w:style w:type="character" w:customStyle="1" w:styleId="CharTok">
    <w:name w:val="CharTok"/>
    <w:basedOn w:val="VerbatimChar"/>
    <w:rPr>
      <w:rFonts w:ascii="Consolas" w:hAnsi="Consolas"/>
      <w:i/>
      <w:color w:val="4070A0"/>
      <w:sz w:val="22"/>
    </w:rPr>
  </w:style>
  <w:style w:type="character" w:customStyle="1" w:styleId="SpecialCharTok">
    <w:name w:val="SpecialCharTok"/>
    <w:basedOn w:val="VerbatimChar"/>
    <w:rPr>
      <w:rFonts w:ascii="Consolas" w:hAnsi="Consolas"/>
      <w:i/>
      <w:color w:val="4070A0"/>
      <w:sz w:val="22"/>
    </w:rPr>
  </w:style>
  <w:style w:type="character" w:customStyle="1" w:styleId="StringTok">
    <w:name w:val="StringTok"/>
    <w:basedOn w:val="VerbatimChar"/>
    <w:rPr>
      <w:rFonts w:ascii="Consolas" w:hAnsi="Consolas"/>
      <w:i/>
      <w:color w:val="4070A0"/>
      <w:sz w:val="22"/>
    </w:rPr>
  </w:style>
  <w:style w:type="character" w:customStyle="1" w:styleId="VerbatimStringTok">
    <w:name w:val="VerbatimStringTok"/>
    <w:basedOn w:val="VerbatimChar"/>
    <w:rPr>
      <w:rFonts w:ascii="Consolas" w:hAnsi="Consolas"/>
      <w:i/>
      <w:color w:val="4070A0"/>
      <w:sz w:val="22"/>
    </w:rPr>
  </w:style>
  <w:style w:type="character" w:customStyle="1" w:styleId="SpecialStringTok">
    <w:name w:val="SpecialStringTok"/>
    <w:basedOn w:val="VerbatimChar"/>
    <w:rPr>
      <w:rFonts w:ascii="Consolas" w:hAnsi="Consolas"/>
      <w:i/>
      <w:color w:val="BB6688"/>
      <w:sz w:val="22"/>
    </w:rPr>
  </w:style>
  <w:style w:type="character" w:customStyle="1" w:styleId="ImportTok">
    <w:name w:val="ImportTok"/>
    <w:basedOn w:val="VerbatimChar"/>
    <w:rPr>
      <w:rFonts w:ascii="Consolas" w:hAnsi="Consolas"/>
      <w:b/>
      <w:i/>
      <w:color w:val="008000"/>
      <w:sz w:val="22"/>
    </w:rPr>
  </w:style>
  <w:style w:type="character" w:customStyle="1" w:styleId="CommentTok">
    <w:name w:val="CommentTok"/>
    <w:basedOn w:val="VerbatimChar"/>
    <w:rPr>
      <w:rFonts w:ascii="Consolas" w:hAnsi="Consolas"/>
      <w:i w:val="0"/>
      <w:color w:val="60A0B0"/>
      <w:sz w:val="22"/>
    </w:rPr>
  </w:style>
  <w:style w:type="character" w:customStyle="1" w:styleId="DocumentationTok">
    <w:name w:val="DocumentationTok"/>
    <w:basedOn w:val="VerbatimChar"/>
    <w:rPr>
      <w:rFonts w:ascii="Consolas" w:hAnsi="Consolas"/>
      <w:i w:val="0"/>
      <w:color w:val="BA2121"/>
      <w:sz w:val="22"/>
    </w:rPr>
  </w:style>
  <w:style w:type="character" w:customStyle="1" w:styleId="AnnotationTok">
    <w:name w:val="AnnotationTok"/>
    <w:basedOn w:val="VerbatimChar"/>
    <w:rPr>
      <w:rFonts w:ascii="Consolas" w:hAnsi="Consolas"/>
      <w:b/>
      <w:i w:val="0"/>
      <w:color w:val="60A0B0"/>
      <w:sz w:val="22"/>
    </w:rPr>
  </w:style>
  <w:style w:type="character" w:customStyle="1" w:styleId="CommentVarTok">
    <w:name w:val="CommentVarTok"/>
    <w:basedOn w:val="VerbatimChar"/>
    <w:rPr>
      <w:rFonts w:ascii="Consolas" w:hAnsi="Consolas"/>
      <w:b/>
      <w:i w:val="0"/>
      <w:color w:val="60A0B0"/>
      <w:sz w:val="22"/>
    </w:rPr>
  </w:style>
  <w:style w:type="character" w:customStyle="1" w:styleId="OtherTok">
    <w:name w:val="OtherTok"/>
    <w:basedOn w:val="VerbatimChar"/>
    <w:rPr>
      <w:rFonts w:ascii="Consolas" w:hAnsi="Consolas"/>
      <w:i/>
      <w:color w:val="007020"/>
      <w:sz w:val="22"/>
    </w:rPr>
  </w:style>
  <w:style w:type="character" w:customStyle="1" w:styleId="FunctionTok">
    <w:name w:val="FunctionTok"/>
    <w:basedOn w:val="VerbatimChar"/>
    <w:rPr>
      <w:rFonts w:ascii="Consolas" w:hAnsi="Consolas"/>
      <w:i/>
      <w:color w:val="06287E"/>
      <w:sz w:val="22"/>
    </w:rPr>
  </w:style>
  <w:style w:type="character" w:customStyle="1" w:styleId="VariableTok">
    <w:name w:val="VariableTok"/>
    <w:basedOn w:val="VerbatimChar"/>
    <w:rPr>
      <w:rFonts w:ascii="Consolas" w:hAnsi="Consolas"/>
      <w:i/>
      <w:color w:val="19177C"/>
      <w:sz w:val="22"/>
    </w:rPr>
  </w:style>
  <w:style w:type="character" w:customStyle="1" w:styleId="ControlFlowTok">
    <w:name w:val="ControlFlowTok"/>
    <w:basedOn w:val="VerbatimChar"/>
    <w:rPr>
      <w:rFonts w:ascii="Consolas" w:hAnsi="Consolas"/>
      <w:b/>
      <w:i/>
      <w:color w:val="007020"/>
      <w:sz w:val="22"/>
    </w:rPr>
  </w:style>
  <w:style w:type="character" w:customStyle="1" w:styleId="OperatorTok">
    <w:name w:val="OperatorTok"/>
    <w:basedOn w:val="VerbatimChar"/>
    <w:rPr>
      <w:rFonts w:ascii="Consolas" w:hAnsi="Consolas"/>
      <w:i/>
      <w:color w:val="666666"/>
      <w:sz w:val="22"/>
    </w:rPr>
  </w:style>
  <w:style w:type="character" w:customStyle="1" w:styleId="BuiltInTok">
    <w:name w:val="BuiltInTok"/>
    <w:basedOn w:val="VerbatimChar"/>
    <w:rPr>
      <w:rFonts w:ascii="Consolas" w:hAnsi="Consolas"/>
      <w:i/>
      <w:color w:val="008000"/>
      <w:sz w:val="22"/>
    </w:rPr>
  </w:style>
  <w:style w:type="character" w:customStyle="1" w:styleId="ExtensionTok">
    <w:name w:val="ExtensionTok"/>
    <w:basedOn w:val="VerbatimChar"/>
    <w:rPr>
      <w:rFonts w:ascii="Consolas" w:hAnsi="Consolas"/>
      <w:i/>
      <w:sz w:val="22"/>
    </w:rPr>
  </w:style>
  <w:style w:type="character" w:customStyle="1" w:styleId="PreprocessorTok">
    <w:name w:val="PreprocessorTok"/>
    <w:basedOn w:val="VerbatimChar"/>
    <w:rPr>
      <w:rFonts w:ascii="Consolas" w:hAnsi="Consolas"/>
      <w:i/>
      <w:color w:val="BC7A00"/>
      <w:sz w:val="22"/>
    </w:rPr>
  </w:style>
  <w:style w:type="character" w:customStyle="1" w:styleId="AttributeTok">
    <w:name w:val="AttributeTok"/>
    <w:basedOn w:val="VerbatimChar"/>
    <w:rPr>
      <w:rFonts w:ascii="Consolas" w:hAnsi="Consolas"/>
      <w:i/>
      <w:color w:val="7D9029"/>
      <w:sz w:val="22"/>
    </w:rPr>
  </w:style>
  <w:style w:type="character" w:customStyle="1" w:styleId="RegionMarkerTok">
    <w:name w:val="RegionMarkerTok"/>
    <w:basedOn w:val="VerbatimChar"/>
    <w:rPr>
      <w:rFonts w:ascii="Consolas" w:hAnsi="Consolas"/>
      <w:i/>
      <w:sz w:val="22"/>
    </w:rPr>
  </w:style>
  <w:style w:type="character" w:customStyle="1" w:styleId="InformationTok">
    <w:name w:val="InformationTok"/>
    <w:basedOn w:val="VerbatimChar"/>
    <w:rPr>
      <w:rFonts w:ascii="Consolas" w:hAnsi="Consolas"/>
      <w:b/>
      <w:i w:val="0"/>
      <w:color w:val="60A0B0"/>
      <w:sz w:val="22"/>
    </w:rPr>
  </w:style>
  <w:style w:type="character" w:customStyle="1" w:styleId="WarningTok">
    <w:name w:val="WarningTok"/>
    <w:basedOn w:val="VerbatimChar"/>
    <w:rPr>
      <w:rFonts w:ascii="Consolas" w:hAnsi="Consolas"/>
      <w:b/>
      <w:i w:val="0"/>
      <w:color w:val="60A0B0"/>
      <w:sz w:val="22"/>
    </w:rPr>
  </w:style>
  <w:style w:type="character" w:customStyle="1" w:styleId="AlertTok">
    <w:name w:val="AlertTok"/>
    <w:basedOn w:val="VerbatimChar"/>
    <w:rPr>
      <w:rFonts w:ascii="Consolas" w:hAnsi="Consolas"/>
      <w:b/>
      <w:i/>
      <w:color w:val="FF0000"/>
      <w:sz w:val="22"/>
    </w:rPr>
  </w:style>
  <w:style w:type="character" w:customStyle="1" w:styleId="ErrorTok">
    <w:name w:val="ErrorTok"/>
    <w:basedOn w:val="VerbatimChar"/>
    <w:rPr>
      <w:rFonts w:ascii="Consolas" w:hAnsi="Consolas"/>
      <w:b/>
      <w:i/>
      <w:color w:val="FF0000"/>
      <w:sz w:val="22"/>
    </w:rPr>
  </w:style>
  <w:style w:type="character" w:customStyle="1" w:styleId="NormalTok">
    <w:name w:val="NormalTok"/>
    <w:basedOn w:val="VerbatimChar"/>
    <w:rPr>
      <w:rFonts w:ascii="Consolas" w:hAnsi="Consolas"/>
      <w:i/>
      <w:sz w:val="22"/>
    </w:rPr>
  </w:style>
  <w:style w:type="character" w:styleId="BookTitle">
    <w:name w:val="Book Title"/>
    <w:basedOn w:val="DefaultParagraphFont"/>
    <w:rsid w:val="00840151"/>
    <w:rPr>
      <w:b/>
      <w:bCs/>
      <w:i/>
      <w:iCs/>
      <w:spacing w:val="5"/>
    </w:rPr>
  </w:style>
  <w:style w:type="character" w:styleId="Emphasis">
    <w:name w:val="Emphasis"/>
    <w:basedOn w:val="DefaultParagraphFont"/>
    <w:rsid w:val="00840151"/>
    <w:rPr>
      <w:i/>
      <w:iCs/>
    </w:rPr>
  </w:style>
  <w:style w:type="character" w:styleId="IntenseEmphasis">
    <w:name w:val="Intense Emphasis"/>
    <w:basedOn w:val="DefaultParagraphFont"/>
    <w:rsid w:val="00840151"/>
    <w:rPr>
      <w:i/>
      <w:iCs/>
      <w:color w:val="156082" w:themeColor="accent1"/>
    </w:rPr>
  </w:style>
  <w:style w:type="paragraph" w:styleId="IntenseQuote">
    <w:name w:val="Intense Quote"/>
    <w:basedOn w:val="Normal"/>
    <w:next w:val="Normal"/>
    <w:link w:val="IntenseQuoteChar"/>
    <w:rsid w:val="0084015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rsid w:val="00840151"/>
    <w:rPr>
      <w:i/>
      <w:iCs/>
      <w:color w:val="156082" w:themeColor="accent1"/>
    </w:rPr>
  </w:style>
  <w:style w:type="character" w:styleId="IntenseReference">
    <w:name w:val="Intense Reference"/>
    <w:basedOn w:val="DefaultParagraphFont"/>
    <w:rsid w:val="00840151"/>
    <w:rPr>
      <w:b/>
      <w:bCs/>
      <w:smallCaps/>
      <w:color w:val="156082" w:themeColor="accent1"/>
      <w:spacing w:val="5"/>
    </w:rPr>
  </w:style>
  <w:style w:type="paragraph" w:styleId="ListParagraph">
    <w:name w:val="List Paragraph"/>
    <w:basedOn w:val="Normal"/>
    <w:uiPriority w:val="34"/>
    <w:qFormat/>
    <w:rsid w:val="00840151"/>
    <w:pPr>
      <w:ind w:left="720"/>
      <w:contextualSpacing/>
    </w:pPr>
  </w:style>
  <w:style w:type="paragraph" w:styleId="NoSpacing">
    <w:name w:val="No Spacing"/>
    <w:rsid w:val="00840151"/>
    <w:pPr>
      <w:spacing w:after="0"/>
    </w:pPr>
  </w:style>
  <w:style w:type="paragraph" w:styleId="Quote">
    <w:name w:val="Quote"/>
    <w:basedOn w:val="Normal"/>
    <w:next w:val="Normal"/>
    <w:link w:val="QuoteChar"/>
    <w:rsid w:val="0084015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840151"/>
    <w:rPr>
      <w:i/>
      <w:iCs/>
      <w:color w:val="404040" w:themeColor="text1" w:themeTint="BF"/>
    </w:rPr>
  </w:style>
  <w:style w:type="character" w:styleId="Strong">
    <w:name w:val="Strong"/>
    <w:basedOn w:val="DefaultParagraphFont"/>
    <w:uiPriority w:val="22"/>
    <w:qFormat/>
    <w:rsid w:val="00840151"/>
    <w:rPr>
      <w:rFonts w:ascii="Aptos" w:hAnsi="Aptos"/>
      <w:b/>
      <w:bCs/>
      <w:sz w:val="22"/>
    </w:rPr>
  </w:style>
  <w:style w:type="character" w:styleId="SubtleEmphasis">
    <w:name w:val="Subtle Emphasis"/>
    <w:basedOn w:val="DefaultParagraphFont"/>
    <w:rsid w:val="00840151"/>
    <w:rPr>
      <w:i/>
      <w:iCs/>
      <w:color w:val="404040" w:themeColor="text1" w:themeTint="BF"/>
    </w:rPr>
  </w:style>
  <w:style w:type="character" w:styleId="SubtleReference">
    <w:name w:val="Subtle Reference"/>
    <w:basedOn w:val="DefaultParagraphFont"/>
    <w:rsid w:val="00840151"/>
    <w:rPr>
      <w:smallCaps/>
      <w:color w:val="5A5A5A" w:themeColor="text1" w:themeTint="A5"/>
    </w:rPr>
  </w:style>
  <w:style w:type="table" w:styleId="TableGrid">
    <w:name w:val="Table Grid"/>
    <w:basedOn w:val="TableNormal"/>
    <w:rsid w:val="0084015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rsid w:val="0084015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D27DD9"/>
    <w:pPr>
      <w:spacing w:before="100" w:beforeAutospacing="1" w:after="100" w:afterAutospacing="1" w:line="240" w:lineRule="auto"/>
    </w:pPr>
    <w:rPr>
      <w:rFonts w:ascii="Times New Roman" w:hAnsi="Times New Roman" w:cs="Times New Roman"/>
      <w:kern w:val="2"/>
      <w:sz w:val="24"/>
      <w:lang w:val="en-AU" w:eastAsia="zh-CN" w:bidi="th-TH"/>
    </w:rPr>
  </w:style>
  <w:style w:type="character" w:styleId="CommentReference">
    <w:name w:val="annotation reference"/>
    <w:basedOn w:val="DefaultParagraphFont"/>
    <w:rsid w:val="00325B72"/>
    <w:rPr>
      <w:sz w:val="16"/>
      <w:szCs w:val="16"/>
    </w:rPr>
  </w:style>
  <w:style w:type="paragraph" w:styleId="CommentText">
    <w:name w:val="annotation text"/>
    <w:basedOn w:val="Normal"/>
    <w:link w:val="CommentTextChar"/>
    <w:rsid w:val="00325B72"/>
    <w:pPr>
      <w:spacing w:line="240" w:lineRule="auto"/>
    </w:pPr>
    <w:rPr>
      <w:sz w:val="20"/>
      <w:szCs w:val="20"/>
    </w:rPr>
  </w:style>
  <w:style w:type="character" w:customStyle="1" w:styleId="CommentTextChar">
    <w:name w:val="Comment Text Char"/>
    <w:basedOn w:val="DefaultParagraphFont"/>
    <w:link w:val="CommentText"/>
    <w:rsid w:val="00325B72"/>
    <w:rPr>
      <w:rFonts w:ascii="Aptos" w:hAnsi="Aptos"/>
      <w:sz w:val="20"/>
      <w:szCs w:val="20"/>
    </w:rPr>
  </w:style>
  <w:style w:type="paragraph" w:styleId="CommentSubject">
    <w:name w:val="annotation subject"/>
    <w:basedOn w:val="CommentText"/>
    <w:next w:val="CommentText"/>
    <w:link w:val="CommentSubjectChar"/>
    <w:rsid w:val="00325B72"/>
    <w:rPr>
      <w:b/>
      <w:bCs/>
    </w:rPr>
  </w:style>
  <w:style w:type="character" w:customStyle="1" w:styleId="CommentSubjectChar">
    <w:name w:val="Comment Subject Char"/>
    <w:basedOn w:val="CommentTextChar"/>
    <w:link w:val="CommentSubject"/>
    <w:rsid w:val="00325B72"/>
    <w:rPr>
      <w:rFonts w:ascii="Aptos" w:hAnsi="Aptos"/>
      <w:b/>
      <w:bCs/>
      <w:sz w:val="20"/>
      <w:szCs w:val="20"/>
    </w:rPr>
  </w:style>
  <w:style w:type="character" w:styleId="UnresolvedMention">
    <w:name w:val="Unresolved Mention"/>
    <w:basedOn w:val="DefaultParagraphFont"/>
    <w:uiPriority w:val="99"/>
    <w:semiHidden/>
    <w:unhideWhenUsed/>
    <w:rsid w:val="001D1BEB"/>
    <w:rPr>
      <w:color w:val="605E5C"/>
      <w:shd w:val="clear" w:color="auto" w:fill="E1DFDD"/>
    </w:rPr>
  </w:style>
  <w:style w:type="paragraph" w:styleId="Header">
    <w:name w:val="header"/>
    <w:basedOn w:val="Normal"/>
    <w:link w:val="HeaderChar"/>
    <w:rsid w:val="00853054"/>
    <w:pPr>
      <w:tabs>
        <w:tab w:val="center" w:pos="4513"/>
        <w:tab w:val="right" w:pos="9026"/>
      </w:tabs>
      <w:spacing w:after="0" w:line="240" w:lineRule="auto"/>
    </w:pPr>
  </w:style>
  <w:style w:type="character" w:customStyle="1" w:styleId="HeaderChar">
    <w:name w:val="Header Char"/>
    <w:basedOn w:val="DefaultParagraphFont"/>
    <w:link w:val="Header"/>
    <w:rsid w:val="00853054"/>
    <w:rPr>
      <w:rFonts w:ascii="Aptos" w:hAnsi="Aptos"/>
      <w:sz w:val="22"/>
    </w:rPr>
  </w:style>
  <w:style w:type="paragraph" w:styleId="Footer">
    <w:name w:val="footer"/>
    <w:basedOn w:val="Normal"/>
    <w:link w:val="FooterChar"/>
    <w:rsid w:val="00853054"/>
    <w:pPr>
      <w:tabs>
        <w:tab w:val="center" w:pos="4513"/>
        <w:tab w:val="right" w:pos="9026"/>
      </w:tabs>
      <w:spacing w:after="0" w:line="240" w:lineRule="auto"/>
    </w:pPr>
  </w:style>
  <w:style w:type="character" w:customStyle="1" w:styleId="FooterChar">
    <w:name w:val="Footer Char"/>
    <w:basedOn w:val="DefaultParagraphFont"/>
    <w:link w:val="Footer"/>
    <w:rsid w:val="00853054"/>
    <w:rPr>
      <w:rFonts w:ascii="Aptos" w:hAnsi="Apto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gov.au/resources/publications/assignment-of-medicare-benefits-for-bulk-billing-frequently-asked-questions?language=e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legislation.gov.au/F2018L01365/lates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4173a8f-e1ac-4499-a647-6d8ea5351f29}" enabled="0" method="" siteId="{a4173a8f-e1ac-4499-a647-6d8ea5351f29}" removed="1"/>
</clbl:labelList>
</file>

<file path=docProps/app.xml><?xml version="1.0" encoding="utf-8"?>
<Properties xmlns="http://schemas.openxmlformats.org/officeDocument/2006/extended-properties" xmlns:vt="http://schemas.openxmlformats.org/officeDocument/2006/docPropsVTypes">
  <Template>Normal</Template>
  <TotalTime>8</TotalTime>
  <Pages>1</Pages>
  <Words>1700</Words>
  <Characters>9690</Characters>
  <Application>Microsoft Office Word</Application>
  <DocSecurity>0</DocSecurity>
  <Lines>80</Lines>
  <Paragraphs>22</Paragraphs>
  <ScaleCrop>false</ScaleCrop>
  <Company/>
  <LinksUpToDate>false</LinksUpToDate>
  <CharactersWithSpaces>11368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Rohan McKnight</dc:creator>
  <cp:keywords/>
  <cp:lastModifiedBy>Caroline Morley</cp:lastModifiedBy>
  <cp:revision>6</cp:revision>
  <dcterms:created xsi:type="dcterms:W3CDTF">2026-09-28T23:11:00Z</dcterms:created>
  <dcterms:modified xsi:type="dcterms:W3CDTF">2026-10-01T04:09:00Z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146517d,4d009b25,31fcecb0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3460a121,46701c12,762ebc43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2026-08-11T03:32:34Z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b11ae97d-b843-4eb0-b5fd-695fba540808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